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Payment &amp; Financial Services - Document 64 - Page 1 of 5</w:t>
      </w:r>
    </w:p>
    <w:p>
      <w:pPr>
        <w:pStyle w:val="IntenseQuote"/>
      </w:pPr>
      <w:r>
        <w:t>Document ID: PAY-064</w:t>
      </w:r>
    </w:p>
    <w:p>
      <w:r>
        <w:t>Payment transaction logging: structured logs, trace IDs, and observability for incident investigation.</w:t>
      </w:r>
    </w:p>
    <w:p>
      <w:r>
        <w:t>Webhook retry: 3 attempts at 1h, 4h, 24h. Implement idempotent handlers for duplicate events.</w:t>
      </w:r>
    </w:p>
    <w:p>
      <w:r>
        <w:t>Intermittent payment failures: Review gateway logs, check rate limits, verify certificate expiry.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64 - Page 2 of 5</w:t>
      </w:r>
    </w:p>
    <w:p>
      <w:pPr>
        <w:pStyle w:val="IntenseQuote"/>
      </w:pPr>
      <w:r>
        <w:t>Document ID: PAY-064</w:t>
      </w:r>
    </w:p>
    <w:p>
      <w:r>
        <w:t>Payment service deployment: blue-green releases, canary deployments, and rollback procedures.</w:t>
      </w:r>
    </w:p>
    <w:p>
      <w:r>
        <w:t>Gateway failover: primary EU, secondary US. Health check every 30s. Auto-switch on 3 consecutive failures.</w:t>
      </w:r>
    </w:p>
    <w:p>
      <w:r>
        <w:t>Currency mismatch: Ensure amount and currency code match. INR to USD conversion requires FX rates.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64 - Page 3 of 5</w:t>
      </w:r>
    </w:p>
    <w:p>
      <w:pPr>
        <w:pStyle w:val="IntenseQuote"/>
      </w:pPr>
      <w:r>
        <w:t>Document ID: PAY-064</w:t>
      </w:r>
    </w:p>
    <w:p>
      <w:r>
        <w:t>Billing and invoicing: subscription management, proration, tax calculation, and invoice generation.</w:t>
      </w:r>
    </w:p>
    <w:p>
      <w:r>
        <w:t>Refund must be &lt;= original amount. Partial refunds supported. Full refund voids original transaction.</w:t>
      </w:r>
    </w:p>
    <w:p>
      <w:r>
        <w:t>Duplicate transaction prevention: Use idempotency keys. Check idempotency_key in request headers.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64 - Page 4 of 5</w:t>
      </w:r>
    </w:p>
    <w:p>
      <w:pPr>
        <w:pStyle w:val="IntenseQuote"/>
      </w:pPr>
      <w:r>
        <w:t>Document ID: PAY-064</w:t>
      </w:r>
    </w:p>
    <w:p>
      <w:r>
        <w:t>Refund and chargeback processing: initiation, status tracking, dispute resolution, and reason codes.</w:t>
      </w:r>
    </w:p>
    <w:p>
      <w:r>
        <w:t>3DS2 challenge: customer may receive OTP from bank. Timeout 5 minutes. Handle challenge completion.</w:t>
      </w:r>
    </w:p>
    <w:p>
      <w:r>
        <w:t>Webhook delivery failures: Verify endpoint URL, SSL certificate, and signature validation logic.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64 - Page 5 of 5</w:t>
      </w:r>
    </w:p>
    <w:p>
      <w:pPr>
        <w:pStyle w:val="IntenseQuote"/>
      </w:pPr>
      <w:r>
        <w:t>Document ID: PAY-064</w:t>
      </w:r>
    </w:p>
    <w:p>
      <w:r>
        <w:t>Payment processor integration: Stripe, Adyen, Braintree API documentation and migration guides.</w:t>
      </w:r>
    </w:p>
    <w:p>
      <w:r>
        <w:t>Settlement cycle: T+2 for cards, T+1 for bank transfer. Check processor-specific timelines.</w:t>
      </w:r>
    </w:p>
    <w:p>
      <w:r>
        <w:t>Payment gateway integration architecture and secure token handling procedures for PCI-DSS compliance.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