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67 - Page 1 of 5</w:t>
      </w:r>
    </w:p>
    <w:p>
      <w:pPr>
        <w:pStyle w:val="IntenseQuote"/>
      </w:pPr>
      <w:r>
        <w:t>Document ID: PAY-067</w:t>
      </w:r>
    </w:p>
    <w:p>
      <w:r>
        <w:t>Refund and chargeback processing: initiation, status tracking, dispute resolution, and reason codes.</w:t>
      </w:r>
    </w:p>
    <w:p>
      <w:r>
        <w:t>Merchant KYC: business registration, bank account verification, beneficial owner disclosure.</w:t>
      </w:r>
    </w:p>
    <w:p>
      <w:r>
        <w:t>Payment database management: transaction logs, audit trails, backup procedures, and data retention policies.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67 - Page 2 of 5</w:t>
      </w:r>
    </w:p>
    <w:p>
      <w:pPr>
        <w:pStyle w:val="IntenseQuote"/>
      </w:pPr>
      <w:r>
        <w:t>Document ID: PAY-067</w:t>
      </w:r>
    </w:p>
    <w:p>
      <w:r>
        <w:t>Payment processor integration: Stripe, Adyen, Braintree API documentation and migration guides.</w:t>
      </w:r>
    </w:p>
    <w:p>
      <w:r>
        <w:t>Subscription billing: prorate on upgrade/downgrade. Credit unused portion. Send invoice 7 days before charge.</w:t>
      </w:r>
    </w:p>
    <w:p>
      <w:r>
        <w:t>Payment gateway configuration for EU region: PSD2 compliance, SCA requirements, and GDPR data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67 - Page 3 of 5</w:t>
      </w:r>
    </w:p>
    <w:p>
      <w:pPr>
        <w:pStyle w:val="IntenseQuote"/>
      </w:pPr>
      <w:r>
        <w:t>Document ID: PAY-067</w:t>
      </w:r>
    </w:p>
    <w:p>
      <w:r>
        <w:t>Financial compliance: PCI-DSS Level 1, SOC 2, ISO 27001 requirements for payment systems.</w:t>
      </w:r>
    </w:p>
    <w:p>
      <w:r>
        <w:t>Multi-currency: store amount in minor units (cents). Display in major units. Use ISO 4217 codes.</w:t>
      </w:r>
    </w:p>
    <w:p>
      <w:r>
        <w:t>Payment user authentication: 3DS2 flows, biometric verification, and risk-based authentication.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67 - Page 4 of 5</w:t>
      </w:r>
    </w:p>
    <w:p>
      <w:pPr>
        <w:pStyle w:val="IntenseQuote"/>
      </w:pPr>
      <w:r>
        <w:t>Document ID: PAY-067</w:t>
      </w:r>
    </w:p>
    <w:p>
      <w:r>
        <w:t>Transaction reconciliation: daily settlement, mismatch resolution, and reconciliation report generation.</w:t>
      </w:r>
    </w:p>
    <w:p>
      <w:r>
        <w:t>Fraud score &gt; 80: block transaction. Score 50-80: require 3DS. Score &lt; 50: auto-approve.</w:t>
      </w:r>
    </w:p>
    <w:p>
      <w:r>
        <w:t>Payment transaction logging: structured logs, trace IDs, and observability for incident investigation.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67 - Page 5 of 5</w:t>
      </w:r>
    </w:p>
    <w:p>
      <w:pPr>
        <w:pStyle w:val="IntenseQuote"/>
      </w:pPr>
      <w:r>
        <w:t>Document ID: PAY-067</w:t>
      </w:r>
    </w:p>
    <w:p>
      <w:r>
        <w:t>Payment fraud detection: velocity checks, device fingerprinting, and ML-based risk scoring.</w:t>
      </w:r>
    </w:p>
    <w:p>
      <w:r>
        <w:t>Audit log retention: 7 years for financial transactions. Immutable storage. Tamper-evident.</w:t>
      </w:r>
    </w:p>
    <w:p>
      <w:r>
        <w:t>Payment service deployment: blue-green releases, canary deployments, and rollback procedures.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