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70 - Page 1 of 5</w:t>
      </w:r>
    </w:p>
    <w:p>
      <w:pPr>
        <w:pStyle w:val="IntenseQuote"/>
      </w:pPr>
      <w:r>
        <w:t>Document ID: PAY-070</w:t>
      </w:r>
    </w:p>
    <w:p>
      <w:r>
        <w:t>Transaction reconciliation: daily settlement, mismatch resolution, and reconciliation report generation.</w:t>
      </w:r>
    </w:p>
    <w:p>
      <w:r>
        <w:t>Payment gateway requires secure token handling. Never store raw card numbers. Use payment tokens.</w:t>
      </w:r>
    </w:p>
    <w:p>
      <w:r>
        <w:t>Transaction reconciliation: daily settlement, mismatch resolution, and reconciliation report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70 - Page 2 of 5</w:t>
      </w:r>
    </w:p>
    <w:p>
      <w:pPr>
        <w:pStyle w:val="IntenseQuote"/>
      </w:pPr>
      <w:r>
        <w:t>Document ID: PAY-070</w:t>
      </w:r>
    </w:p>
    <w:p>
      <w:r>
        <w:t>Payment fraud detection: velocity checks, device fingerprinting, and ML-based risk scoring.</w:t>
      </w:r>
    </w:p>
    <w:p>
      <w:r>
        <w:t>EU region mandates PSD2 and Strong Customer Authentication (SCA) for card payments.</w:t>
      </w:r>
    </w:p>
    <w:p>
      <w:r>
        <w:t>Payment fraud detection: velocity checks, device fingerprinting, and ML-based risk scoring.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70 - Page 3 of 5</w:t>
      </w:r>
    </w:p>
    <w:p>
      <w:pPr>
        <w:pStyle w:val="IntenseQuote"/>
      </w:pPr>
      <w:r>
        <w:t>Document ID: PAY-070</w:t>
      </w:r>
    </w:p>
    <w:p>
      <w:r>
        <w:t>Merchant account management: onboarding, KYC verification, and settlement schedule configuration.</w:t>
      </w:r>
    </w:p>
    <w:p>
      <w:r>
        <w:t>Error 5003 indicates gateway timeout. Typical causes: network issues, gateway overload, DNS failure.</w:t>
      </w:r>
    </w:p>
    <w:p>
      <w:r>
        <w:t>Merchant account management: onboarding, KYC verification, and settlement schedule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70 - Page 4 of 5</w:t>
      </w:r>
    </w:p>
    <w:p>
      <w:pPr>
        <w:pStyle w:val="IntenseQuote"/>
      </w:pPr>
      <w:r>
        <w:t>Document ID: PAY-070</w:t>
      </w:r>
    </w:p>
    <w:p>
      <w:r>
        <w:t>Payment webhooks: event types, signature verification, retry policy, and idempotency handling.</w:t>
      </w:r>
    </w:p>
    <w:p>
      <w:r>
        <w:t>Connection pooling for payment DB: set max_connections=50, connection_timeout=30s.</w:t>
      </w:r>
    </w:p>
    <w:p>
      <w:r>
        <w:t>Payment webhooks: event types, signature verification, retry policy, and idempotency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70 - Page 5 of 5</w:t>
      </w:r>
    </w:p>
    <w:p>
      <w:pPr>
        <w:pStyle w:val="IntenseQuote"/>
      </w:pPr>
      <w:r>
        <w:t>Document ID: PAY-070</w:t>
      </w:r>
    </w:p>
    <w:p>
      <w:r>
        <w:t>Financial reporting: transaction reports, revenue analytics, and regulatory reporting formats.</w:t>
      </w:r>
    </w:p>
    <w:p>
      <w:r>
        <w:t>For INR to USD discrepancy: verify FX rate source, conversion timestamp, and rounding rules.</w:t>
      </w:r>
    </w:p>
    <w:p>
      <w:r>
        <w:t>Financial reporting: transaction reports, revenue analytics, and regulatory reporting formats.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