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75 - Page 1 of 5</w:t>
      </w:r>
    </w:p>
    <w:p>
      <w:pPr>
        <w:pStyle w:val="IntenseQuote"/>
      </w:pPr>
      <w:r>
        <w:t>Document ID: PAY-075</w:t>
      </w:r>
    </w:p>
    <w:p>
      <w:r>
        <w:t>Payment SLA and uptime: 99.9% target, incident response times, and status page communication.</w:t>
      </w:r>
    </w:p>
    <w:p>
      <w:r>
        <w:t>Refund must be &lt;= original amount. Partial refunds supported. Full refund voids original transaction.</w:t>
      </w:r>
    </w:p>
    <w:p>
      <w:r>
        <w:t>Transaction processing workflows and error recovery mechanisms for financial services including retry logic and idempotency.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75 - Page 2 of 5</w:t>
      </w:r>
    </w:p>
    <w:p>
      <w:pPr>
        <w:pStyle w:val="IntenseQuote"/>
      </w:pPr>
      <w:r>
        <w:t>Document ID: PAY-075</w:t>
      </w:r>
    </w:p>
    <w:p>
      <w:r>
        <w:t>Error code 5003: Payment gateway connection timeout. Check network connectivity and gateway health.</w:t>
      </w:r>
    </w:p>
    <w:p>
      <w:r>
        <w:t>3DS2 challenge: customer may receive OTP from bank. Timeout 5 minutes. Handle challenge completion.</w:t>
      </w:r>
    </w:p>
    <w:p>
      <w:r>
        <w:t>Payment API integration guidelines: REST endpoints, authentication, webhook callbacks, and error code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75 - Page 3 of 5</w:t>
      </w:r>
    </w:p>
    <w:p>
      <w:pPr>
        <w:pStyle w:val="IntenseQuote"/>
      </w:pPr>
      <w:r>
        <w:t>Document ID: PAY-075</w:t>
      </w:r>
    </w:p>
    <w:p>
      <w:r>
        <w:t>Error code 4001: Invalid payment method. Verify card details and expiry. Support 3DS if required.</w:t>
      </w:r>
    </w:p>
    <w:p>
      <w:r>
        <w:t>Settlement cycle: T+2 for cards, T+1 for bank transfer. Check processor-specific timelines.</w:t>
      </w:r>
    </w:p>
    <w:p>
      <w:r>
        <w:t>Financial transaction security protocols: TLS 1.3, tokenization, encryption at rest and in transit.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75 - Page 4 of 5</w:t>
      </w:r>
    </w:p>
    <w:p>
      <w:pPr>
        <w:pStyle w:val="IntenseQuote"/>
      </w:pPr>
      <w:r>
        <w:t>Document ID: PAY-075</w:t>
      </w:r>
    </w:p>
    <w:p>
      <w:r>
        <w:t>Error code 4002: Insufficient funds. Customer must use alternative payment method or add funds.</w:t>
      </w:r>
    </w:p>
    <w:p>
      <w:r>
        <w:t>Payment reconciliation: match transaction ID, amount, currency. Flag mismatches for manual review.</w:t>
      </w:r>
    </w:p>
    <w:p>
      <w:r>
        <w:t>Payment processing performance monitoring: latency metrics, throughput, success rates, and SLA thresholds.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75 - Page 5 of 5</w:t>
      </w:r>
    </w:p>
    <w:p>
      <w:pPr>
        <w:pStyle w:val="IntenseQuote"/>
      </w:pPr>
      <w:r>
        <w:t>Document ID: PAY-075</w:t>
      </w:r>
    </w:p>
    <w:p>
      <w:r>
        <w:t>EU payment failures: Verify PSD2 compliance, SCA completion, and issuer 3DS configuration.</w:t>
      </w:r>
    </w:p>
    <w:p>
      <w:r>
        <w:t>Merchant KYC: business registration, bank account verification, beneficial owner disclosure.</w:t>
      </w:r>
    </w:p>
    <w:p>
      <w:r>
        <w:t>Payment database management: transaction logs, audit trails, backup procedures, and data retention policies.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