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58 - Page 1 of 6</w:t>
      </w:r>
    </w:p>
    <w:p>
      <w:pPr>
        <w:pStyle w:val="IntenseQuote"/>
      </w:pPr>
      <w:r>
        <w:t>Document ID: PAY-058</w:t>
      </w:r>
    </w:p>
    <w:p>
      <w:r>
        <w:t>Payment API integration guidelines: REST endpoints, authentication, webhook callbacks, and error code handling.</w:t>
      </w:r>
    </w:p>
    <w:p>
      <w:r>
        <w:t>Multi-currency: store amount in minor units (cents). Display in major units. Use ISO 4217 codes.</w:t>
      </w:r>
    </w:p>
    <w:p>
      <w:r>
        <w:t>Payment gateway configuration for EU region: PSD2 compliance, SCA requirements, and GDPR data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58 - Page 2 of 6</w:t>
      </w:r>
    </w:p>
    <w:p>
      <w:pPr>
        <w:pStyle w:val="IntenseQuote"/>
      </w:pPr>
      <w:r>
        <w:t>Document ID: PAY-058</w:t>
      </w:r>
    </w:p>
    <w:p>
      <w:r>
        <w:t>Financial transaction security protocols: TLS 1.3, tokenization, encryption at rest and in transit.</w:t>
      </w:r>
    </w:p>
    <w:p>
      <w:r>
        <w:t>Fraud score &gt; 80: block transaction. Score 50-80: require 3DS. Score &lt; 50: auto-approve.</w:t>
      </w:r>
    </w:p>
    <w:p>
      <w:r>
        <w:t>Payment user authentication: 3DS2 flows, biometric verification, and risk-based authentication.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58 - Page 3 of 6</w:t>
      </w:r>
    </w:p>
    <w:p>
      <w:pPr>
        <w:pStyle w:val="IntenseQuote"/>
      </w:pPr>
      <w:r>
        <w:t>Document ID: PAY-058</w:t>
      </w:r>
    </w:p>
    <w:p>
      <w:r>
        <w:t>Payment processing performance monitoring: latency metrics, throughput, success rates, and SLA thresholds.</w:t>
      </w:r>
    </w:p>
    <w:p>
      <w:r>
        <w:t>Audit log retention: 7 years for financial transactions. Immutable storage. Tamper-evident.</w:t>
      </w:r>
    </w:p>
    <w:p>
      <w:r>
        <w:t>Payment transaction logging: structured logs, trace IDs, and observability for incident investigation.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58 - Page 4 of 6</w:t>
      </w:r>
    </w:p>
    <w:p>
      <w:pPr>
        <w:pStyle w:val="IntenseQuote"/>
      </w:pPr>
      <w:r>
        <w:t>Document ID: PAY-058</w:t>
      </w:r>
    </w:p>
    <w:p>
      <w:r>
        <w:t>Payment database management: transaction logs, audit trails, backup procedures, and data retention policies.</w:t>
      </w:r>
    </w:p>
    <w:p>
      <w:r>
        <w:t>Incident severity: P1 payment down, P2 degraded, P3 single merchant. P1 requires 15-min acknowledgment.</w:t>
      </w:r>
    </w:p>
    <w:p>
      <w:r>
        <w:t>Payment service deployment: blue-green releases, canary deployments, and rollback procedures.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58 - Page 5 of 6</w:t>
      </w:r>
    </w:p>
    <w:p>
      <w:pPr>
        <w:pStyle w:val="IntenseQuote"/>
      </w:pPr>
      <w:r>
        <w:t>Document ID: PAY-058</w:t>
      </w:r>
    </w:p>
    <w:p>
      <w:r>
        <w:t>Payment gateway configuration for EU region: PSD2 compliance, SCA requirements, and GDPR data handling.</w:t>
      </w:r>
    </w:p>
    <w:p>
      <w:r>
        <w:t>Payment gateway requires secure token handling. Never store raw card numbers. Use payment tokens.</w:t>
      </w:r>
    </w:p>
    <w:p>
      <w:r>
        <w:t>Billing and invoicing: subscription management, proration, tax calculation, and invoice generation.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58 - Page 6 of 6</w:t>
      </w:r>
    </w:p>
    <w:p>
      <w:pPr>
        <w:pStyle w:val="IntenseQuote"/>
      </w:pPr>
      <w:r>
        <w:t>Document ID: PAY-058</w:t>
      </w:r>
    </w:p>
    <w:p>
      <w:r>
        <w:t>Payment user authentication: 3DS2 flows, biometric verification, and risk-based authentication.</w:t>
      </w:r>
    </w:p>
    <w:p>
      <w:r>
        <w:t>EU region mandates PSD2 and Strong Customer Authentication (SCA) for card payments.</w:t>
      </w:r>
    </w:p>
    <w:p>
      <w:r>
        <w:t>Refund and chargeback processing: initiation, status tracking, dispute resolution, and reason codes.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