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59 - Page 1 of 5</w:t>
      </w:r>
    </w:p>
    <w:p>
      <w:pPr>
        <w:pStyle w:val="IntenseQuote"/>
      </w:pPr>
      <w:r>
        <w:t>Document ID: PAY-059</w:t>
      </w:r>
    </w:p>
    <w:p>
      <w:r>
        <w:t>Financial transaction security protocols: TLS 1.3, tokenization, encryption at rest and in transit.</w:t>
      </w:r>
    </w:p>
    <w:p>
      <w:r>
        <w:t>Audit log retention: 7 years for financial transactions. Immutable storage. Tamper-evident.</w:t>
      </w:r>
    </w:p>
    <w:p>
      <w:r>
        <w:t>Payment service deployment: blue-green releases, canary deployments, and rollback procedures.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59 - Page 2 of 5</w:t>
      </w:r>
    </w:p>
    <w:p>
      <w:pPr>
        <w:pStyle w:val="IntenseQuote"/>
      </w:pPr>
      <w:r>
        <w:t>Document ID: PAY-059</w:t>
      </w:r>
    </w:p>
    <w:p>
      <w:r>
        <w:t>Payment processing performance monitoring: latency metrics, throughput, success rates, and SLA thresholds.</w:t>
      </w:r>
    </w:p>
    <w:p>
      <w:r>
        <w:t>Incident severity: P1 payment down, P2 degraded, P3 single merchant. P1 requires 15-min acknowledgment.</w:t>
      </w:r>
    </w:p>
    <w:p>
      <w:r>
        <w:t>Billing and invoicing: subscription management, proration, tax calculation, and invoice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59 - Page 3 of 5</w:t>
      </w:r>
    </w:p>
    <w:p>
      <w:pPr>
        <w:pStyle w:val="IntenseQuote"/>
      </w:pPr>
      <w:r>
        <w:t>Document ID: PAY-059</w:t>
      </w:r>
    </w:p>
    <w:p>
      <w:r>
        <w:t>Payment database management: transaction logs, audit trails, backup procedures, and data retention policies.</w:t>
      </w:r>
    </w:p>
    <w:p>
      <w:r>
        <w:t>Payment gateway requires secure token handling. Never store raw card numbers. Use payment tokens.</w:t>
      </w:r>
    </w:p>
    <w:p>
      <w:r>
        <w:t>Refund and chargeback processing: initiation, status tracking, dispute resolution, and reason codes.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59 - Page 4 of 5</w:t>
      </w:r>
    </w:p>
    <w:p>
      <w:pPr>
        <w:pStyle w:val="IntenseQuote"/>
      </w:pPr>
      <w:r>
        <w:t>Document ID: PAY-059</w:t>
      </w:r>
    </w:p>
    <w:p>
      <w:r>
        <w:t>Payment gateway configuration for EU region: PSD2 compliance, SCA requirements, and GDPR data handling.</w:t>
      </w:r>
    </w:p>
    <w:p>
      <w:r>
        <w:t>EU region mandates PSD2 and Strong Customer Authentication (SCA) for card payments.</w:t>
      </w:r>
    </w:p>
    <w:p>
      <w:r>
        <w:t>Payment processor integration: Stripe, Adyen, Braintree API documentation and migration guides.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59 - Page 5 of 5</w:t>
      </w:r>
    </w:p>
    <w:p>
      <w:pPr>
        <w:pStyle w:val="IntenseQuote"/>
      </w:pPr>
      <w:r>
        <w:t>Document ID: PAY-059</w:t>
      </w:r>
    </w:p>
    <w:p>
      <w:r>
        <w:t>Payment user authentication: 3DS2 flows, biometric verification, and risk-based authentication.</w:t>
      </w:r>
    </w:p>
    <w:p>
      <w:r>
        <w:t>Error 5003 indicates gateway timeout. Typical causes: network issues, gateway overload, DNS failure.</w:t>
      </w:r>
    </w:p>
    <w:p>
      <w:r>
        <w:t>Financial compliance: PCI-DSS Level 1, SOC 2, ISO 27001 requirements for payment systems.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