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65 - Page 1 of 6</w:t>
      </w:r>
    </w:p>
    <w:p>
      <w:pPr>
        <w:pStyle w:val="IntenseQuote"/>
      </w:pPr>
      <w:r>
        <w:t>Document ID: PAY-065</w:t>
      </w:r>
    </w:p>
    <w:p>
      <w:r>
        <w:t>Payment service deployment: blue-green releases, canary deployments, and rollback procedures.</w:t>
      </w:r>
    </w:p>
    <w:p>
      <w:r>
        <w:t>Refund must be &lt;= original amount. Partial refunds supported. Full refund voids original transaction.</w:t>
      </w:r>
    </w:p>
    <w:p>
      <w:r>
        <w:t>Webhook delivery failures: Verify endpoint URL, SSL certificate, and signature validation logic.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65 - Page 2 of 6</w:t>
      </w:r>
    </w:p>
    <w:p>
      <w:pPr>
        <w:pStyle w:val="IntenseQuote"/>
      </w:pPr>
      <w:r>
        <w:t>Document ID: PAY-065</w:t>
      </w:r>
    </w:p>
    <w:p>
      <w:r>
        <w:t>Billing and invoicing: subscription management, proration, tax calculation, and invoice generation.</w:t>
      </w:r>
    </w:p>
    <w:p>
      <w:r>
        <w:t>3DS2 challenge: customer may receive OTP from bank. Timeout 5 minutes. Handle challenge completion.</w:t>
      </w:r>
    </w:p>
    <w:p>
      <w:r>
        <w:t>Payment gateway integration architecture and secure token handling procedures for PCI-DSS compliance.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65 - Page 3 of 6</w:t>
      </w:r>
    </w:p>
    <w:p>
      <w:pPr>
        <w:pStyle w:val="IntenseQuote"/>
      </w:pPr>
      <w:r>
        <w:t>Document ID: PAY-065</w:t>
      </w:r>
    </w:p>
    <w:p>
      <w:r>
        <w:t>Refund and chargeback processing: initiation, status tracking, dispute resolution, and reason codes.</w:t>
      </w:r>
    </w:p>
    <w:p>
      <w:r>
        <w:t>Settlement cycle: T+2 for cards, T+1 for bank transfer. Check processor-specific timelines.</w:t>
      </w:r>
    </w:p>
    <w:p>
      <w:r>
        <w:t>Transaction processing workflows and error recovery mechanisms for financial services including retry logic and idempotency.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65 - Page 4 of 6</w:t>
      </w:r>
    </w:p>
    <w:p>
      <w:pPr>
        <w:pStyle w:val="IntenseQuote"/>
      </w:pPr>
      <w:r>
        <w:t>Document ID: PAY-065</w:t>
      </w:r>
    </w:p>
    <w:p>
      <w:r>
        <w:t>Payment processor integration: Stripe, Adyen, Braintree API documentation and migration guides.</w:t>
      </w:r>
    </w:p>
    <w:p>
      <w:r>
        <w:t>Payment reconciliation: match transaction ID, amount, currency. Flag mismatches for manual review.</w:t>
      </w:r>
    </w:p>
    <w:p>
      <w:r>
        <w:t>Payment API integration guidelines: REST endpoints, authentication, webhook callbacks, and error code handling.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65 - Page 5 of 6</w:t>
      </w:r>
    </w:p>
    <w:p>
      <w:pPr>
        <w:pStyle w:val="IntenseQuote"/>
      </w:pPr>
      <w:r>
        <w:t>Document ID: PAY-065</w:t>
      </w:r>
    </w:p>
    <w:p>
      <w:r>
        <w:t>Financial compliance: PCI-DSS Level 1, SOC 2, ISO 27001 requirements for payment systems.</w:t>
      </w:r>
    </w:p>
    <w:p>
      <w:r>
        <w:t>Merchant KYC: business registration, bank account verification, beneficial owner disclosure.</w:t>
      </w:r>
    </w:p>
    <w:p>
      <w:r>
        <w:t>Financial transaction security protocols: TLS 1.3, tokenization, encryption at rest and in transit.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65 - Page 6 of 6</w:t>
      </w:r>
    </w:p>
    <w:p>
      <w:pPr>
        <w:pStyle w:val="IntenseQuote"/>
      </w:pPr>
      <w:r>
        <w:t>Document ID: PAY-065</w:t>
      </w:r>
    </w:p>
    <w:p>
      <w:r>
        <w:t>Transaction reconciliation: daily settlement, mismatch resolution, and reconciliation report generation.</w:t>
      </w:r>
    </w:p>
    <w:p>
      <w:r>
        <w:t>Subscription billing: prorate on upgrade/downgrade. Credit unused portion. Send invoice 7 days before charge.</w:t>
      </w:r>
    </w:p>
    <w:p>
      <w:r>
        <w:t>Payment processing performance monitoring: latency metrics, throughput, success rates, and SLA thresholds.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