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66 - Page 1 of 5</w:t>
      </w:r>
    </w:p>
    <w:p>
      <w:pPr>
        <w:pStyle w:val="IntenseQuote"/>
      </w:pPr>
      <w:r>
        <w:t>Document ID: PAY-066</w:t>
      </w:r>
    </w:p>
    <w:p>
      <w:r>
        <w:t>Billing and invoicing: subscription management, proration, tax calculation, and invoice generation.</w:t>
      </w:r>
    </w:p>
    <w:p>
      <w:r>
        <w:t>Settlement cycle: T+2 for cards, T+1 for bank transfer. Check processor-specific timelines.</w:t>
      </w:r>
    </w:p>
    <w:p>
      <w:r>
        <w:t>Payment API integration guidelines: REST endpoints, authentication, webhook callbacks, and error code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66 - Page 2 of 5</w:t>
      </w:r>
    </w:p>
    <w:p>
      <w:pPr>
        <w:pStyle w:val="IntenseQuote"/>
      </w:pPr>
      <w:r>
        <w:t>Document ID: PAY-066</w:t>
      </w:r>
    </w:p>
    <w:p>
      <w:r>
        <w:t>Refund and chargeback processing: initiation, status tracking, dispute resolution, and reason codes.</w:t>
      </w:r>
    </w:p>
    <w:p>
      <w:r>
        <w:t>Payment reconciliation: match transaction ID, amount, currency. Flag mismatches for manual review.</w:t>
      </w:r>
    </w:p>
    <w:p>
      <w:r>
        <w:t>Financial transaction security protocols: TLS 1.3, tokenization, encryption at rest and in transit.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66 - Page 3 of 5</w:t>
      </w:r>
    </w:p>
    <w:p>
      <w:pPr>
        <w:pStyle w:val="IntenseQuote"/>
      </w:pPr>
      <w:r>
        <w:t>Document ID: PAY-066</w:t>
      </w:r>
    </w:p>
    <w:p>
      <w:r>
        <w:t>Payment processor integration: Stripe, Adyen, Braintree API documentation and migration guides.</w:t>
      </w:r>
    </w:p>
    <w:p>
      <w:r>
        <w:t>Merchant KYC: business registration, bank account verification, beneficial owner disclosure.</w:t>
      </w:r>
    </w:p>
    <w:p>
      <w:r>
        <w:t>Payment processing performance monitoring: latency metrics, throughput, success rates, and SLA thresholds.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66 - Page 4 of 5</w:t>
      </w:r>
    </w:p>
    <w:p>
      <w:pPr>
        <w:pStyle w:val="IntenseQuote"/>
      </w:pPr>
      <w:r>
        <w:t>Document ID: PAY-066</w:t>
      </w:r>
    </w:p>
    <w:p>
      <w:r>
        <w:t>Financial compliance: PCI-DSS Level 1, SOC 2, ISO 27001 requirements for payment systems.</w:t>
      </w:r>
    </w:p>
    <w:p>
      <w:r>
        <w:t>Subscription billing: prorate on upgrade/downgrade. Credit unused portion. Send invoice 7 days before charge.</w:t>
      </w:r>
    </w:p>
    <w:p>
      <w:r>
        <w:t>Payment database management: transaction logs, audit trails, backup procedures, and data retention policies.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66 - Page 5 of 5</w:t>
      </w:r>
    </w:p>
    <w:p>
      <w:pPr>
        <w:pStyle w:val="IntenseQuote"/>
      </w:pPr>
      <w:r>
        <w:t>Document ID: PAY-066</w:t>
      </w:r>
    </w:p>
    <w:p>
      <w:r>
        <w:t>Transaction reconciliation: daily settlement, mismatch resolution, and reconciliation report generation.</w:t>
      </w:r>
    </w:p>
    <w:p>
      <w:r>
        <w:t>Multi-currency: store amount in minor units (cents). Display in major units. Use ISO 4217 codes.</w:t>
      </w:r>
    </w:p>
    <w:p>
      <w:r>
        <w:t>Payment gateway configuration for EU region: PSD2 compliance, SCA requirements, and GDPR data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