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68 - Page 1 of 6</w:t>
      </w:r>
    </w:p>
    <w:p>
      <w:pPr>
        <w:pStyle w:val="IntenseQuote"/>
      </w:pPr>
      <w:r>
        <w:t>Document ID: PAY-068</w:t>
      </w:r>
    </w:p>
    <w:p>
      <w:r>
        <w:t>Payment processor integration: Stripe, Adyen, Braintree API documentation and migration guides.</w:t>
      </w:r>
    </w:p>
    <w:p>
      <w:r>
        <w:t>Multi-currency: store amount in minor units (cents). Display in major units. Use ISO 4217 codes.</w:t>
      </w:r>
    </w:p>
    <w:p>
      <w:r>
        <w:t>Payment transaction logging: structured logs, trace IDs, and observability for incident investigation.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68 - Page 2 of 6</w:t>
      </w:r>
    </w:p>
    <w:p>
      <w:pPr>
        <w:pStyle w:val="IntenseQuote"/>
      </w:pPr>
      <w:r>
        <w:t>Document ID: PAY-068</w:t>
      </w:r>
    </w:p>
    <w:p>
      <w:r>
        <w:t>Financial compliance: PCI-DSS Level 1, SOC 2, ISO 27001 requirements for payment systems.</w:t>
      </w:r>
    </w:p>
    <w:p>
      <w:r>
        <w:t>Fraud score &gt; 80: block transaction. Score 50-80: require 3DS. Score &lt; 50: auto-approve.</w:t>
      </w:r>
    </w:p>
    <w:p>
      <w:r>
        <w:t>Payment service deployment: blue-green releases, canary deployments, and rollback procedures.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68 - Page 3 of 6</w:t>
      </w:r>
    </w:p>
    <w:p>
      <w:pPr>
        <w:pStyle w:val="IntenseQuote"/>
      </w:pPr>
      <w:r>
        <w:t>Document ID: PAY-068</w:t>
      </w:r>
    </w:p>
    <w:p>
      <w:r>
        <w:t>Transaction reconciliation: daily settlement, mismatch resolution, and reconciliation report generation.</w:t>
      </w:r>
    </w:p>
    <w:p>
      <w:r>
        <w:t>Audit log retention: 7 years for financial transactions. Immutable storage. Tamper-evident.</w:t>
      </w:r>
    </w:p>
    <w:p>
      <w:r>
        <w:t>Billing and invoicing: subscription management, proration, tax calculation, and invoice generation.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68 - Page 4 of 6</w:t>
      </w:r>
    </w:p>
    <w:p>
      <w:pPr>
        <w:pStyle w:val="IntenseQuote"/>
      </w:pPr>
      <w:r>
        <w:t>Document ID: PAY-068</w:t>
      </w:r>
    </w:p>
    <w:p>
      <w:r>
        <w:t>Payment fraud detection: velocity checks, device fingerprinting, and ML-based risk scoring.</w:t>
      </w:r>
    </w:p>
    <w:p>
      <w:r>
        <w:t>Incident severity: P1 payment down, P2 degraded, P3 single merchant. P1 requires 15-min acknowledgment.</w:t>
      </w:r>
    </w:p>
    <w:p>
      <w:r>
        <w:t>Refund and chargeback processing: initiation, status tracking, dispute resolution, and reason codes.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68 - Page 5 of 6</w:t>
      </w:r>
    </w:p>
    <w:p>
      <w:pPr>
        <w:pStyle w:val="IntenseQuote"/>
      </w:pPr>
      <w:r>
        <w:t>Document ID: PAY-068</w:t>
      </w:r>
    </w:p>
    <w:p>
      <w:r>
        <w:t>Merchant account management: onboarding, KYC verification, and settlement schedule configuration.</w:t>
      </w:r>
    </w:p>
    <w:p>
      <w:r>
        <w:t>Payment gateway requires secure token handling. Never store raw card numbers. Use payment tokens.</w:t>
      </w:r>
    </w:p>
    <w:p>
      <w:r>
        <w:t>Payment processor integration: Stripe, Adyen, Braintree API documentation and migration guides.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68 - Page 6 of 6</w:t>
      </w:r>
    </w:p>
    <w:p>
      <w:pPr>
        <w:pStyle w:val="IntenseQuote"/>
      </w:pPr>
      <w:r>
        <w:t>Document ID: PAY-068</w:t>
      </w:r>
    </w:p>
    <w:p>
      <w:r>
        <w:t>Payment webhooks: event types, signature verification, retry policy, and idempotency handling.</w:t>
      </w:r>
    </w:p>
    <w:p>
      <w:r>
        <w:t>EU region mandates PSD2 and Strong Customer Authentication (SCA) for card payments.</w:t>
      </w:r>
    </w:p>
    <w:p>
      <w:r>
        <w:t>Financial compliance: PCI-DSS Level 1, SOC 2, ISO 27001 requirements for payment systems.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