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69 - Page 1 of 5</w:t>
      </w:r>
    </w:p>
    <w:p>
      <w:pPr>
        <w:pStyle w:val="IntenseQuote"/>
      </w:pPr>
      <w:r>
        <w:t>Document ID: PAY-069</w:t>
      </w:r>
    </w:p>
    <w:p>
      <w:r>
        <w:t>Financial compliance: PCI-DSS Level 1, SOC 2, ISO 27001 requirements for payment systems.</w:t>
      </w:r>
    </w:p>
    <w:p>
      <w:r>
        <w:t>Audit log retention: 7 years for financial transactions. Immutable storage. Tamper-evident.</w:t>
      </w:r>
    </w:p>
    <w:p>
      <w:r>
        <w:t>Refund and chargeback processing: initiation, status tracking, dispute resolution, and reason codes.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69 - Page 2 of 5</w:t>
      </w:r>
    </w:p>
    <w:p>
      <w:pPr>
        <w:pStyle w:val="IntenseQuote"/>
      </w:pPr>
      <w:r>
        <w:t>Document ID: PAY-069</w:t>
      </w:r>
    </w:p>
    <w:p>
      <w:r>
        <w:t>Transaction reconciliation: daily settlement, mismatch resolution, and reconciliation report generation.</w:t>
      </w:r>
    </w:p>
    <w:p>
      <w:r>
        <w:t>Incident severity: P1 payment down, P2 degraded, P3 single merchant. P1 requires 15-min acknowledgment.</w:t>
      </w:r>
    </w:p>
    <w:p>
      <w:r>
        <w:t>Payment processor integration: Stripe, Adyen, Braintree API documentation and migration guides.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69 - Page 3 of 5</w:t>
      </w:r>
    </w:p>
    <w:p>
      <w:pPr>
        <w:pStyle w:val="IntenseQuote"/>
      </w:pPr>
      <w:r>
        <w:t>Document ID: PAY-069</w:t>
      </w:r>
    </w:p>
    <w:p>
      <w:r>
        <w:t>Payment fraud detection: velocity checks, device fingerprinting, and ML-based risk scoring.</w:t>
      </w:r>
    </w:p>
    <w:p>
      <w:r>
        <w:t>Payment gateway requires secure token handling. Never store raw card numbers. Use payment tokens.</w:t>
      </w:r>
    </w:p>
    <w:p>
      <w:r>
        <w:t>Financial compliance: PCI-DSS Level 1, SOC 2, ISO 27001 requirements for payment systems.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69 - Page 4 of 5</w:t>
      </w:r>
    </w:p>
    <w:p>
      <w:pPr>
        <w:pStyle w:val="IntenseQuote"/>
      </w:pPr>
      <w:r>
        <w:t>Document ID: PAY-069</w:t>
      </w:r>
    </w:p>
    <w:p>
      <w:r>
        <w:t>Merchant account management: onboarding, KYC verification, and settlement schedule configuration.</w:t>
      </w:r>
    </w:p>
    <w:p>
      <w:r>
        <w:t>EU region mandates PSD2 and Strong Customer Authentication (SCA) for card payments.</w:t>
      </w:r>
    </w:p>
    <w:p>
      <w:r>
        <w:t>Transaction reconciliation: daily settlement, mismatch resolution, and reconciliation report generation.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69 - Page 5 of 5</w:t>
      </w:r>
    </w:p>
    <w:p>
      <w:pPr>
        <w:pStyle w:val="IntenseQuote"/>
      </w:pPr>
      <w:r>
        <w:t>Document ID: PAY-069</w:t>
      </w:r>
    </w:p>
    <w:p>
      <w:r>
        <w:t>Payment webhooks: event types, signature verification, retry policy, and idempotency handling.</w:t>
      </w:r>
    </w:p>
    <w:p>
      <w:r>
        <w:t>Error 5003 indicates gateway timeout. Typical causes: network issues, gateway overload, DNS failure.</w:t>
      </w:r>
    </w:p>
    <w:p>
      <w:r>
        <w:t>Payment fraud detection: velocity checks, device fingerprinting, and ML-based risk scoring.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