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72 - Page 1 of 6</w:t>
      </w:r>
    </w:p>
    <w:p>
      <w:pPr>
        <w:pStyle w:val="IntenseQuote"/>
      </w:pPr>
      <w:r>
        <w:t>Document ID: PAY-072</w:t>
      </w:r>
    </w:p>
    <w:p>
      <w:r>
        <w:t>Merchant account management: onboarding, KYC verification, and settlement schedule configuration.</w:t>
      </w:r>
    </w:p>
    <w:p>
      <w:r>
        <w:t>For INR to USD discrepancy: verify FX rate source, conversion timestamp, and rounding rules.</w:t>
      </w:r>
    </w:p>
    <w:p>
      <w:r>
        <w:t>Error code 5003: Payment gateway connection timeout. Check network connectivity and gateway health.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72 - Page 2 of 6</w:t>
      </w:r>
    </w:p>
    <w:p>
      <w:pPr>
        <w:pStyle w:val="IntenseQuote"/>
      </w:pPr>
      <w:r>
        <w:t>Document ID: PAY-072</w:t>
      </w:r>
    </w:p>
    <w:p>
      <w:r>
        <w:t>Payment webhooks: event types, signature verification, retry policy, and idempotency handling.</w:t>
      </w:r>
    </w:p>
    <w:p>
      <w:r>
        <w:t>Chargeback reason code 10.4: customer disputes transaction. Gather proof of delivery and authorization.</w:t>
      </w:r>
    </w:p>
    <w:p>
      <w:r>
        <w:t>Error code 4001: Invalid payment method. Verify card details and expiry. Support 3DS if required.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72 - Page 3 of 6</w:t>
      </w:r>
    </w:p>
    <w:p>
      <w:pPr>
        <w:pStyle w:val="IntenseQuote"/>
      </w:pPr>
      <w:r>
        <w:t>Document ID: PAY-072</w:t>
      </w:r>
    </w:p>
    <w:p>
      <w:r>
        <w:t>Financial reporting: transaction reports, revenue analytics, and regulatory reporting formats.</w:t>
      </w:r>
    </w:p>
    <w:p>
      <w:r>
        <w:t>Payment API rate limit: 100 requests/second. Use exponential backoff for 429 responses.</w:t>
      </w:r>
    </w:p>
    <w:p>
      <w:r>
        <w:t>Error code 4002: Insufficient funds. Customer must use alternative payment method or add funds.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72 - Page 4 of 6</w:t>
      </w:r>
    </w:p>
    <w:p>
      <w:pPr>
        <w:pStyle w:val="IntenseQuote"/>
      </w:pPr>
      <w:r>
        <w:t>Document ID: PAY-072</w:t>
      </w:r>
    </w:p>
    <w:p>
      <w:r>
        <w:t>Payment SLA and uptime: 99.9% target, incident response times, and status page communication.</w:t>
      </w:r>
    </w:p>
    <w:p>
      <w:r>
        <w:t>PCI-DSS: Never log full card numbers. Mask to last 4 digits. Secure log storage required.</w:t>
      </w:r>
    </w:p>
    <w:p>
      <w:r>
        <w:t>EU payment failures: Verify PSD2 compliance, SCA completion, and issuer 3DS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72 - Page 5 of 6</w:t>
      </w:r>
    </w:p>
    <w:p>
      <w:pPr>
        <w:pStyle w:val="IntenseQuote"/>
      </w:pPr>
      <w:r>
        <w:t>Document ID: PAY-072</w:t>
      </w:r>
    </w:p>
    <w:p>
      <w:r>
        <w:t>Error code 5003: Payment gateway connection timeout. Check network connectivity and gateway health.</w:t>
      </w:r>
    </w:p>
    <w:p>
      <w:r>
        <w:t>Webhook retry: 3 attempts at 1h, 4h, 24h. Implement idempotent handlers for duplicate events.</w:t>
      </w:r>
    </w:p>
    <w:p>
      <w:r>
        <w:t>Intermittent payment failures: Review gateway logs, check rate limits, verify certificate expiry.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72 - Page 6 of 6</w:t>
      </w:r>
    </w:p>
    <w:p>
      <w:pPr>
        <w:pStyle w:val="IntenseQuote"/>
      </w:pPr>
      <w:r>
        <w:t>Document ID: PAY-072</w:t>
      </w:r>
    </w:p>
    <w:p>
      <w:r>
        <w:t>Error code 4001: Invalid payment method. Verify card details and expiry. Support 3DS if required.</w:t>
      </w:r>
    </w:p>
    <w:p>
      <w:r>
        <w:t>Gateway failover: primary EU, secondary US. Health check every 30s. Auto-switch on 3 consecutive failures.</w:t>
      </w:r>
    </w:p>
    <w:p>
      <w:r>
        <w:t>Currency mismatch: Ensure amount and currency code match. INR to USD conversion requires FX rates.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