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VIKRAM JOSHI</w:t>
            </w:r>
          </w:p>
          <w:p>
            <w:r>
              <w:t xml:space="preserve">Pune, India</w:t>
            </w:r>
          </w:p>
          <w:p>
            <w:r>
              <w:t xml:space="preserve">vikram@example.com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Wealth management, Portfolio review, Client relations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MBA Finance</w:t>
            </w:r>
          </w:p>
          <w:p>
            <w:r>
              <w:t xml:space="preserve">Symbiosis Pune, 2014  –  2016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Banker in private and retail banking.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Relationship Manager (Private Banking, Wealth) | HDFC Bank | Jun 2021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Manage a 120-client book worth 640 crore.</w:t>
            </w:r>
          </w:p>
          <w:p>
            <w:r>
              <w:rPr>
                <w:b/>
              </w:rPr>
              <w:t xml:space="preserve">Assistant Vice President (Retail, Branch Banking) | Axis Bank | Apr 2016 – May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a 22-person branch to 118% of target.</w:t>
            </w:r>
          </w:p>
        </w:tc>
      </w:tr>
    </w:tbl>
  </w:body>
</w:document>
</file>