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TANVI MEHTA</w:t>
                      </w:r>
                    </w:p>
                    <w:p>
                      <w:r>
                        <w:t xml:space="preserve">Mumbai, India</w:t>
                      </w:r>
                    </w:p>
                    <w:p>
                      <w:r>
                        <w:t xml:space="preserve">tanvi@example.com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Strategy, SQL, Roadmapping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IIM Ahmedabad, 2018 – 2020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TANVI MEHTA</w:t>
                      </w:r>
                    </w:p>
                    <w:p>
                      <w:r>
                        <w:t xml:space="preserve">Mumbai, India</w:t>
                      </w:r>
                    </w:p>
                    <w:p>
                      <w:r>
                        <w:t xml:space="preserve">tanvi@example.com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Strategy, SQL, Roadmapping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IIM Ahmedabad, 2018 – 2020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Consultant moving into product.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Product Manager, Razorpay</w:t>
      </w:r>
    </w:p>
    <w:p>
      <w:r>
        <w:t xml:space="preserve">Feb 2024–Present</w:t>
      </w:r>
    </w:p>
    <w:p>
      <w:pPr>
        <w:numPr>
          <w:ilvl w:val="0"/>
          <w:numId w:val="1"/>
        </w:numPr>
      </w:pPr>
      <w:r>
        <w:t xml:space="preserve">Own merchant onboarding.</w:t>
      </w:r>
    </w:p>
    <w:p>
      <w:r>
        <w:rPr>
          <w:b/>
        </w:rPr>
        <w:t xml:space="preserve">Senior Associate, McKinsey &amp; Company</w:t>
      </w:r>
    </w:p>
    <w:p>
      <w:r>
        <w:t xml:space="preserve">Aug 2020–Jan 2024</w:t>
      </w:r>
    </w:p>
    <w:p>
      <w:pPr>
        <w:numPr>
          <w:ilvl w:val="0"/>
          <w:numId w:val="1"/>
        </w:numPr>
      </w:pPr>
      <w:r>
        <w:t xml:space="preserve">Led 5 engagements in banking.</w:t>
      </w:r>
    </w:p>
  </w:body>
</w:document>
</file>