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NextGenOS Financial Services Private Limited</w:t>
      </w:r>
    </w:p>
    <w:p>
      <w:pPr>
        <w:spacing w:after="300"/>
        <w:jc w:val="center"/>
      </w:pPr>
      <w:r>
        <w:rPr>
          <w:rFonts w:ascii="Calibri" w:cs="Calibri" w:eastAsia="Calibri" w:hAnsi="Calibri"/>
          <w:color w:val="64748B"/>
          <w:sz w:val="22"/>
          <w:szCs w:val="22"/>
        </w:rPr>
        <w:t xml:space="preserve">Employee Stock Option Scheme — "ESOP 2026" (Draft)</w:t>
      </w:r>
    </w:p>
    <w:p>
      <w:pPr>
        <w:pBdr>
          <w:top w:val="single" w:color="C00000" w:sz="6"/>
          <w:bottom w:val="single" w:color="C00000" w:sz="6"/>
        </w:pBdr>
        <w:spacing w:after="300"/>
      </w:pPr>
      <w:r>
        <w:rPr>
          <w:rFonts w:ascii="Calibri" w:cs="Calibri" w:eastAsia="Calibri" w:hAnsi="Calibri"/>
          <w:b/>
          <w:bCs/>
          <w:color w:val="C00000"/>
        </w:rPr>
        <w:t xml:space="preserve">DRAFT FOR LEGAL REVIEW — NOT LEGAL ADVICE. </w:t>
      </w:r>
      <w:r>
        <w:rPr>
          <w:rFonts w:ascii="Calibri" w:cs="Calibri" w:eastAsia="Calibri" w:hAnsi="Calibri"/>
          <w:color w:val="C00000"/>
        </w:rPr>
        <w:t xml:space="preserve">This document is an unreviewed working draft prepared to reduce legal drafting costs. It must be reviewed by a lawyer qualified to practice Indian corporate and employment law before adoption, board approval, or execution. Bracketed items [in square brackets] require founder input or legal confirmation before use.</w:t>
      </w:r>
    </w:p>
    <w:p>
      <w:pPr>
        <w:pStyle w:val="Heading1"/>
        <w:spacing w:after="140" w:before="280"/>
      </w:pPr>
      <w:r>
        <w:rPr>
          <w:rFonts w:ascii="Calibri" w:cs="Calibri" w:eastAsia="Calibri" w:hAnsi="Calibri"/>
        </w:rPr>
        <w:t xml:space="preserve">1. Preamble and Definitions</w:t>
      </w:r>
    </w:p>
    <w:p>
      <w:pPr>
        <w:spacing w:after="140"/>
      </w:pPr>
      <w:r>
        <w:rPr>
          <w:rFonts w:ascii="Calibri" w:cs="Calibri" w:eastAsia="Calibri" w:hAnsi="Calibri"/>
        </w:rPr>
        <w:t xml:space="preserve">This Employee Stock Option Scheme ("Scheme" or "ESOP 2026") is framed by NextGenOS Financial Services Private Limited ("Company") under Section 62(1)(b) of the Companies Act, 2013 and Rule 12 of the Companies (Share Capital and Debentures) Rules, 2014, to enable eligible employees to participate in the ownership and growth of the Company.</w:t>
      </w:r>
    </w:p>
    <w:p>
      <w:pPr>
        <w:pStyle w:val="Heading2"/>
        <w:spacing w:after="100" w:before="180"/>
      </w:pPr>
      <w:r>
        <w:rPr>
          <w:rFonts w:ascii="Calibri" w:cs="Calibri" w:eastAsia="Calibri" w:hAnsi="Calibri"/>
        </w:rPr>
        <w:t xml:space="preserve">1.1 Definitions</w:t>
      </w:r>
    </w:p>
    <w:p>
      <w:pPr>
        <w:pStyle w:val="ListParagraph"/>
        <w:numPr>
          <w:ilvl w:val="0"/>
          <w:numId w:val="2"/>
        </w:numPr>
        <w:spacing w:after="80"/>
      </w:pPr>
      <w:r>
        <w:rPr>
          <w:rFonts w:ascii="Calibri" w:cs="Calibri" w:eastAsia="Calibri" w:hAnsi="Calibri"/>
        </w:rPr>
        <w:t xml:space="preserve">"Board" means the Board of Directors of the Company, and includes the Compensation Committee if one is constituted to administer this Scheme.</w:t>
      </w:r>
    </w:p>
    <w:p>
      <w:pPr>
        <w:pStyle w:val="ListParagraph"/>
        <w:numPr>
          <w:ilvl w:val="0"/>
          <w:numId w:val="2"/>
        </w:numPr>
        <w:spacing w:after="80"/>
      </w:pPr>
      <w:r>
        <w:rPr>
          <w:rFonts w:ascii="Calibri" w:cs="Calibri" w:eastAsia="Calibri" w:hAnsi="Calibri"/>
        </w:rPr>
        <w:t xml:space="preserve">"Option" means a right, but not an obligation, granted to an Employee to subscribe to Equity Shares of the Company at the Exercise Price, subject to Vesting.</w:t>
      </w:r>
    </w:p>
    <w:p>
      <w:pPr>
        <w:pStyle w:val="ListParagraph"/>
        <w:numPr>
          <w:ilvl w:val="0"/>
          <w:numId w:val="2"/>
        </w:numPr>
        <w:spacing w:after="80"/>
      </w:pPr>
      <w:r>
        <w:rPr>
          <w:rFonts w:ascii="Calibri" w:cs="Calibri" w:eastAsia="Calibri" w:hAnsi="Calibri"/>
        </w:rPr>
        <w:t xml:space="preserve">"Grant Date" means the date on which an Option is granted to an Employee by the Board.</w:t>
      </w:r>
    </w:p>
    <w:p>
      <w:pPr>
        <w:pStyle w:val="ListParagraph"/>
        <w:numPr>
          <w:ilvl w:val="0"/>
          <w:numId w:val="2"/>
        </w:numPr>
        <w:spacing w:after="80"/>
      </w:pPr>
      <w:r>
        <w:rPr>
          <w:rFonts w:ascii="Calibri" w:cs="Calibri" w:eastAsia="Calibri" w:hAnsi="Calibri"/>
        </w:rPr>
        <w:t xml:space="preserve">"Vesting" means the process by which an Employee gets the right to Exercise an Option, per the Vesting schedule set out in the applicable Grant Letter.</w:t>
      </w:r>
    </w:p>
    <w:p>
      <w:pPr>
        <w:pStyle w:val="ListParagraph"/>
        <w:numPr>
          <w:ilvl w:val="0"/>
          <w:numId w:val="2"/>
        </w:numPr>
        <w:spacing w:after="80"/>
      </w:pPr>
      <w:r>
        <w:rPr>
          <w:rFonts w:ascii="Calibri" w:cs="Calibri" w:eastAsia="Calibri" w:hAnsi="Calibri"/>
        </w:rPr>
        <w:t xml:space="preserve">"Exercise" means an Employee's decision to convert vested Options into Equity Shares by paying the Exercise Price.</w:t>
      </w:r>
    </w:p>
    <w:p>
      <w:pPr>
        <w:pStyle w:val="ListParagraph"/>
        <w:numPr>
          <w:ilvl w:val="0"/>
          <w:numId w:val="2"/>
        </w:numPr>
        <w:spacing w:after="80"/>
      </w:pPr>
      <w:r>
        <w:rPr>
          <w:rFonts w:ascii="Calibri" w:cs="Calibri" w:eastAsia="Calibri" w:hAnsi="Calibri"/>
        </w:rPr>
        <w:t xml:space="preserve">"Exercise Price" means the price payable per Option on Exercise, as determined by the Board on or before the Grant Date and recorded in the Grant Letter.</w:t>
      </w:r>
    </w:p>
    <w:p>
      <w:pPr>
        <w:pStyle w:val="ListParagraph"/>
        <w:numPr>
          <w:ilvl w:val="0"/>
          <w:numId w:val="2"/>
        </w:numPr>
        <w:spacing w:after="80"/>
      </w:pPr>
      <w:r>
        <w:rPr>
          <w:rFonts w:ascii="Calibri" w:cs="Calibri" w:eastAsia="Calibri" w:hAnsi="Calibri"/>
        </w:rPr>
        <w:t xml:space="preserve">"Grant Letter" means the individual letter issued to each Employee under this Scheme, setting out the number of Options, Vesting schedule, Exercise Price, and Exercise period applicable to that Employee.</w:t>
      </w:r>
    </w:p>
    <w:p>
      <w:pPr>
        <w:pStyle w:val="ListParagraph"/>
        <w:numPr>
          <w:ilvl w:val="0"/>
          <w:numId w:val="2"/>
        </w:numPr>
        <w:spacing w:after="80"/>
      </w:pPr>
      <w:r>
        <w:rPr>
          <w:rFonts w:ascii="Calibri" w:cs="Calibri" w:eastAsia="Calibri" w:hAnsi="Calibri"/>
        </w:rPr>
        <w:t xml:space="preserve">"Employee" has the meaning set out in Clause 3 (Eligibility) below.</w:t>
      </w:r>
    </w:p>
    <w:p>
      <w:pPr>
        <w:pStyle w:val="Heading1"/>
        <w:spacing w:after="140" w:before="280"/>
      </w:pPr>
      <w:r>
        <w:rPr>
          <w:rFonts w:ascii="Calibri" w:cs="Calibri" w:eastAsia="Calibri" w:hAnsi="Calibri"/>
        </w:rPr>
        <w:t xml:space="preserve">2. Objective</w:t>
      </w:r>
    </w:p>
    <w:p>
      <w:pPr>
        <w:spacing w:after="140"/>
      </w:pPr>
      <w:r>
        <w:rPr>
          <w:rFonts w:ascii="Calibri" w:cs="Calibri" w:eastAsia="Calibri" w:hAnsi="Calibri"/>
        </w:rPr>
        <w:t xml:space="preserve">This Scheme is intended to attract, retain, and motivate employees and directors who contribute to the Company’s growth by giving them the opportunity to own equity in the Company, and to align their long-term interests with those of the Company’s shareholders.</w:t>
      </w:r>
    </w:p>
    <w:p>
      <w:pPr>
        <w:pStyle w:val="Heading1"/>
        <w:spacing w:after="140" w:before="280"/>
      </w:pPr>
      <w:r>
        <w:rPr>
          <w:rFonts w:ascii="Calibri" w:cs="Calibri" w:eastAsia="Calibri" w:hAnsi="Calibri"/>
        </w:rPr>
        <w:t xml:space="preserve">3. Administration</w:t>
      </w:r>
    </w:p>
    <w:p>
      <w:pPr>
        <w:spacing w:after="140"/>
      </w:pPr>
      <w:r>
        <w:rPr>
          <w:rFonts w:ascii="Calibri" w:cs="Calibri" w:eastAsia="Calibri" w:hAnsi="Calibri"/>
        </w:rPr>
        <w:t xml:space="preserve">This Scheme shall be administered by the Board, which may delegate administration to a Compensation Committee constituted for this purpose. The Board (or Committee) has full authority to determine, subject to this Scheme:</w:t>
      </w:r>
    </w:p>
    <w:p>
      <w:pPr>
        <w:pStyle w:val="ListParagraph"/>
        <w:numPr>
          <w:ilvl w:val="0"/>
          <w:numId w:val="2"/>
        </w:numPr>
        <w:spacing w:after="80"/>
      </w:pPr>
      <w:r>
        <w:rPr>
          <w:rFonts w:ascii="Calibri" w:cs="Calibri" w:eastAsia="Calibri" w:hAnsi="Calibri"/>
        </w:rPr>
        <w:t xml:space="preserve">The Employees to whom Options are granted;</w:t>
      </w:r>
    </w:p>
    <w:p>
      <w:pPr>
        <w:pStyle w:val="ListParagraph"/>
        <w:numPr>
          <w:ilvl w:val="0"/>
          <w:numId w:val="2"/>
        </w:numPr>
        <w:spacing w:after="80"/>
      </w:pPr>
      <w:r>
        <w:rPr>
          <w:rFonts w:ascii="Calibri" w:cs="Calibri" w:eastAsia="Calibri" w:hAnsi="Calibri"/>
        </w:rPr>
        <w:t xml:space="preserve">The number of Options granted to each Employee;</w:t>
      </w:r>
    </w:p>
    <w:p>
      <w:pPr>
        <w:pStyle w:val="ListParagraph"/>
        <w:numPr>
          <w:ilvl w:val="0"/>
          <w:numId w:val="2"/>
        </w:numPr>
        <w:spacing w:after="80"/>
      </w:pPr>
      <w:r>
        <w:rPr>
          <w:rFonts w:ascii="Calibri" w:cs="Calibri" w:eastAsia="Calibri" w:hAnsi="Calibri"/>
        </w:rPr>
        <w:t xml:space="preserve">The Vesting schedule and any conditions attached to Vesting;</w:t>
      </w:r>
    </w:p>
    <w:p>
      <w:pPr>
        <w:pStyle w:val="ListParagraph"/>
        <w:numPr>
          <w:ilvl w:val="0"/>
          <w:numId w:val="2"/>
        </w:numPr>
        <w:spacing w:after="80"/>
      </w:pPr>
      <w:r>
        <w:rPr>
          <w:rFonts w:ascii="Calibri" w:cs="Calibri" w:eastAsia="Calibri" w:hAnsi="Calibri"/>
        </w:rPr>
        <w:t xml:space="preserve">The Exercise Price and Exercise period;</w:t>
      </w:r>
    </w:p>
    <w:p>
      <w:pPr>
        <w:pStyle w:val="ListParagraph"/>
        <w:numPr>
          <w:ilvl w:val="0"/>
          <w:numId w:val="2"/>
        </w:numPr>
        <w:spacing w:after="80"/>
      </w:pPr>
      <w:r>
        <w:rPr>
          <w:rFonts w:ascii="Calibri" w:cs="Calibri" w:eastAsia="Calibri" w:hAnsi="Calibri"/>
        </w:rPr>
        <w:t xml:space="preserve">All other terms of individual grants, consistent with this Scheme.</w:t>
      </w:r>
    </w:p>
    <w:p>
      <w:pPr>
        <w:pStyle w:val="Heading1"/>
        <w:spacing w:after="140" w:before="280"/>
      </w:pPr>
      <w:r>
        <w:rPr>
          <w:rFonts w:ascii="Calibri" w:cs="Calibri" w:eastAsia="Calibri" w:hAnsi="Calibri"/>
        </w:rPr>
        <w:t xml:space="preserve">4. Eligibility</w:t>
      </w:r>
    </w:p>
    <w:p>
      <w:pPr>
        <w:spacing w:after="140"/>
      </w:pPr>
      <w:r>
        <w:rPr>
          <w:rFonts w:ascii="Calibri" w:cs="Calibri" w:eastAsia="Calibri" w:hAnsi="Calibri"/>
        </w:rPr>
        <w:t xml:space="preserve">Options may be granted to permanent employees of the Company (whether working in India or outside India) and to directors of the Company, whether whole-time or otherwise, but excluding:</w:t>
      </w:r>
    </w:p>
    <w:p>
      <w:pPr>
        <w:pStyle w:val="ListParagraph"/>
        <w:numPr>
          <w:ilvl w:val="0"/>
          <w:numId w:val="2"/>
        </w:numPr>
        <w:spacing w:after="80"/>
      </w:pPr>
      <w:r>
        <w:rPr>
          <w:rFonts w:ascii="Calibri" w:cs="Calibri" w:eastAsia="Calibri" w:hAnsi="Calibri"/>
        </w:rPr>
        <w:t xml:space="preserve">An independent director of the Company;</w:t>
      </w:r>
    </w:p>
    <w:p>
      <w:pPr>
        <w:pStyle w:val="ListParagraph"/>
        <w:numPr>
          <w:ilvl w:val="0"/>
          <w:numId w:val="2"/>
        </w:numPr>
        <w:spacing w:after="80"/>
      </w:pPr>
      <w:r>
        <w:rPr>
          <w:rFonts w:ascii="Calibri" w:cs="Calibri" w:eastAsia="Calibri" w:hAnsi="Calibri"/>
        </w:rPr>
        <w:t xml:space="preserve">A promoter of the Company or a person belonging to the promoter group;</w:t>
      </w:r>
    </w:p>
    <w:p>
      <w:pPr>
        <w:pStyle w:val="ListParagraph"/>
        <w:numPr>
          <w:ilvl w:val="0"/>
          <w:numId w:val="2"/>
        </w:numPr>
        <w:spacing w:after="80"/>
      </w:pPr>
      <w:r>
        <w:rPr>
          <w:rFonts w:ascii="Calibri" w:cs="Calibri" w:eastAsia="Calibri" w:hAnsi="Calibri"/>
        </w:rPr>
        <w:t xml:space="preserve">A director who, either directly or through any body corporate, holds more than 10% of the outstanding equity shares of the Company at the time of grant.</w:t>
      </w:r>
    </w:p>
    <w:p>
      <w:pPr>
        <w:spacing w:after="140"/>
      </w:pPr>
      <w:r>
        <w:rPr>
          <w:rFonts w:ascii="Calibri" w:cs="Calibri" w:eastAsia="Calibri" w:hAnsi="Calibri"/>
        </w:rPr>
        <w:t xml:space="preserve">[Confirm with counsel: the promoter/10%-holder exclusions above do not apply if the Company qualifies as a DPIIT-recognised "eligible startup" within 10 years of incorporation. Confirm the Company’s DPIIT recognition status before relying on this exemption.]</w:t>
      </w:r>
    </w:p>
    <w:p>
      <w:pPr>
        <w:pStyle w:val="Heading1"/>
        <w:spacing w:after="140" w:before="280"/>
      </w:pPr>
      <w:r>
        <w:rPr>
          <w:rFonts w:ascii="Calibri" w:cs="Calibri" w:eastAsia="Calibri" w:hAnsi="Calibri"/>
        </w:rPr>
        <w:t xml:space="preserve">5. Option Pool</w:t>
      </w:r>
    </w:p>
    <w:p>
      <w:pPr>
        <w:spacing w:after="140"/>
      </w:pPr>
      <w:r>
        <w:rPr>
          <w:rFonts w:ascii="Calibri" w:cs="Calibri" w:eastAsia="Calibri" w:hAnsi="Calibri"/>
        </w:rPr>
        <w:t xml:space="preserve">[PLACEHOLDER — to be fixed by the Board and shareholders before adoption:]</w:t>
      </w:r>
    </w:p>
    <w:p>
      <w:pPr>
        <w:pStyle w:val="ListParagraph"/>
        <w:numPr>
          <w:ilvl w:val="0"/>
          <w:numId w:val="2"/>
        </w:numPr>
        <w:spacing w:after="80"/>
      </w:pPr>
      <w:r>
        <w:rPr>
          <w:rFonts w:ascii="Calibri" w:cs="Calibri" w:eastAsia="Calibri" w:hAnsi="Calibri"/>
        </w:rPr>
        <w:t xml:space="preserve">Total Options reserved under this Scheme: [●] Options, exercisable into [●] equity shares of face value ₹[●] each.</w:t>
      </w:r>
    </w:p>
    <w:p>
      <w:pPr>
        <w:pStyle w:val="ListParagraph"/>
        <w:numPr>
          <w:ilvl w:val="0"/>
          <w:numId w:val="2"/>
        </w:numPr>
        <w:spacing w:after="80"/>
      </w:pPr>
      <w:r>
        <w:rPr>
          <w:rFonts w:ascii="Calibri" w:cs="Calibri" w:eastAsia="Calibri" w:hAnsi="Calibri"/>
        </w:rPr>
        <w:t xml:space="preserve">This represents approximately [●]% of the Company’s fully diluted equity share capital as on [date].</w:t>
      </w:r>
    </w:p>
    <w:p>
      <w:pPr>
        <w:pStyle w:val="ListParagraph"/>
        <w:numPr>
          <w:ilvl w:val="0"/>
          <w:numId w:val="2"/>
        </w:numPr>
        <w:spacing w:after="80"/>
      </w:pPr>
      <w:r>
        <w:rPr>
          <w:rFonts w:ascii="Calibri" w:cs="Calibri" w:eastAsia="Calibri" w:hAnsi="Calibri"/>
        </w:rPr>
        <w:t xml:space="preserve">The pool size shall be approved by a special resolution of the shareholders per Rule 12 of the Companies (Share Capital and Debentures) Rules, 2014, and Form MGT-14 shall be filed with the Registrar of Companies within 30 days of passing that resolution.</w:t>
      </w:r>
    </w:p>
    <w:p>
      <w:pPr>
        <w:pStyle w:val="Heading1"/>
        <w:spacing w:after="140" w:before="280"/>
      </w:pPr>
      <w:r>
        <w:rPr>
          <w:rFonts w:ascii="Calibri" w:cs="Calibri" w:eastAsia="Calibri" w:hAnsi="Calibri"/>
        </w:rPr>
        <w:t xml:space="preserve">6. Grant of Options</w:t>
      </w:r>
    </w:p>
    <w:p>
      <w:pPr>
        <w:spacing w:after="140"/>
      </w:pPr>
      <w:r>
        <w:rPr>
          <w:rFonts w:ascii="Calibri" w:cs="Calibri" w:eastAsia="Calibri" w:hAnsi="Calibri"/>
        </w:rPr>
        <w:t xml:space="preserve">The Board shall issue a Grant Letter to each Employee to whom Options are granted. No Employee has any right to be granted Options, and grant of an Option in one instance does not entitle the Employee to future grants. A grant does not confer any right to continued employment.</w:t>
      </w:r>
    </w:p>
    <w:p>
      <w:pPr>
        <w:pStyle w:val="Heading1"/>
        <w:spacing w:after="140" w:before="280"/>
      </w:pPr>
      <w:r>
        <w:rPr>
          <w:rFonts w:ascii="Calibri" w:cs="Calibri" w:eastAsia="Calibri" w:hAnsi="Calibri"/>
        </w:rPr>
        <w:t xml:space="preserve">7. Vesting</w:t>
      </w:r>
    </w:p>
    <w:p>
      <w:pPr>
        <w:pStyle w:val="ListParagraph"/>
        <w:numPr>
          <w:ilvl w:val="0"/>
          <w:numId w:val="2"/>
        </w:numPr>
        <w:spacing w:after="80"/>
      </w:pPr>
      <w:r>
        <w:rPr>
          <w:rFonts w:ascii="Calibri" w:cs="Calibri" w:eastAsia="Calibri" w:hAnsi="Calibri"/>
        </w:rPr>
        <w:t xml:space="preserve">Minimum Vesting period: no Option shall vest earlier than one (1) year from its Grant Date, per Rule 12(6) of the Companies (Share Capital and Debentures) Rules, 2014.</w:t>
      </w:r>
    </w:p>
    <w:p>
      <w:pPr>
        <w:pStyle w:val="ListParagraph"/>
        <w:numPr>
          <w:ilvl w:val="0"/>
          <w:numId w:val="2"/>
        </w:numPr>
        <w:spacing w:after="80"/>
      </w:pPr>
      <w:r>
        <w:rPr>
          <w:rFonts w:ascii="Calibri" w:cs="Calibri" w:eastAsia="Calibri" w:hAnsi="Calibri"/>
        </w:rPr>
        <w:t xml:space="preserve">[PLACEHOLDER default schedule — confirm with founders:] Options shall vest over four (4) years from the Vesting Commencement Date, with 25% vesting on the first anniversary (the "Cliff") and the remaining 75% vesting monthly/quarterly thereafter, as set out in the individual Grant Letter.</w:t>
      </w:r>
    </w:p>
    <w:p>
      <w:pPr>
        <w:pStyle w:val="ListParagraph"/>
        <w:numPr>
          <w:ilvl w:val="0"/>
          <w:numId w:val="2"/>
        </w:numPr>
        <w:spacing w:after="80"/>
      </w:pPr>
      <w:r>
        <w:rPr>
          <w:rFonts w:ascii="Calibri" w:cs="Calibri" w:eastAsia="Calibri" w:hAnsi="Calibri"/>
        </w:rPr>
        <w:t xml:space="preserve">The Board may, at its sole discretion, accelerate Vesting for any Employee, including on a change of control of the Company, subject to applicable law.</w:t>
      </w:r>
    </w:p>
    <w:p>
      <w:pPr>
        <w:pStyle w:val="Heading1"/>
        <w:spacing w:after="140" w:before="280"/>
      </w:pPr>
      <w:r>
        <w:rPr>
          <w:rFonts w:ascii="Calibri" w:cs="Calibri" w:eastAsia="Calibri" w:hAnsi="Calibri"/>
        </w:rPr>
        <w:t xml:space="preserve">8. Exercise</w:t>
      </w:r>
    </w:p>
    <w:p>
      <w:pPr>
        <w:pStyle w:val="ListParagraph"/>
        <w:numPr>
          <w:ilvl w:val="0"/>
          <w:numId w:val="2"/>
        </w:numPr>
        <w:spacing w:after="80"/>
      </w:pPr>
      <w:r>
        <w:rPr>
          <w:rFonts w:ascii="Calibri" w:cs="Calibri" w:eastAsia="Calibri" w:hAnsi="Calibri"/>
        </w:rPr>
        <w:t xml:space="preserve">Vested Options may be exercised by the Employee delivering a written exercise notice and paying the aggregate Exercise Price to the Company, within the Exercise Period stated in the Grant Letter.</w:t>
      </w:r>
    </w:p>
    <w:p>
      <w:pPr>
        <w:pStyle w:val="ListParagraph"/>
        <w:numPr>
          <w:ilvl w:val="0"/>
          <w:numId w:val="2"/>
        </w:numPr>
        <w:spacing w:after="80"/>
      </w:pPr>
      <w:r>
        <w:rPr>
          <w:rFonts w:ascii="Calibri" w:cs="Calibri" w:eastAsia="Calibri" w:hAnsi="Calibri"/>
        </w:rPr>
        <w:t xml:space="preserve">[PLACEHOLDER: default Exercise Period is [●] years from the date of Vesting, or such shorter period following cessation of employment as set out in Clause 9.]</w:t>
      </w:r>
    </w:p>
    <w:p>
      <w:pPr>
        <w:pStyle w:val="ListParagraph"/>
        <w:numPr>
          <w:ilvl w:val="0"/>
          <w:numId w:val="2"/>
        </w:numPr>
        <w:spacing w:after="80"/>
      </w:pPr>
      <w:r>
        <w:rPr>
          <w:rFonts w:ascii="Calibri" w:cs="Calibri" w:eastAsia="Calibri" w:hAnsi="Calibri"/>
        </w:rPr>
        <w:t xml:space="preserve">The Company shall allot Equity Shares against exercised Options within the timelines prescribed under the Companies Act, 2013, and file Form PAS-3 with the Registrar of Companies.</w:t>
      </w:r>
    </w:p>
    <w:p>
      <w:pPr>
        <w:pStyle w:val="ListParagraph"/>
        <w:numPr>
          <w:ilvl w:val="0"/>
          <w:numId w:val="2"/>
        </w:numPr>
        <w:spacing w:after="80"/>
      </w:pPr>
      <w:r>
        <w:rPr>
          <w:rFonts w:ascii="Calibri" w:cs="Calibri" w:eastAsia="Calibri" w:hAnsi="Calibri"/>
        </w:rPr>
        <w:t xml:space="preserve">An Employee has no rights as a shareholder (including voting or dividend rights) in respect of unexercised Options.</w:t>
      </w:r>
    </w:p>
    <w:p>
      <w:pPr>
        <w:pStyle w:val="Heading1"/>
        <w:spacing w:after="140" w:before="280"/>
      </w:pPr>
      <w:r>
        <w:rPr>
          <w:rFonts w:ascii="Calibri" w:cs="Calibri" w:eastAsia="Calibri" w:hAnsi="Calibri"/>
        </w:rPr>
        <w:t xml:space="preserve">9. Effect of Cessation of Employment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Circumstance</w:t>
            </w:r>
          </w:p>
        </w:tc>
        <w:tc>
          <w:tcPr>
            <w:tcW w:type="dxa" w:w="32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Unvested Options</w:t>
            </w:r>
          </w:p>
        </w:tc>
        <w:tc>
          <w:tcPr>
            <w:tcW w:type="dxa" w:w="3200"/>
            <w:shd w:fill="0B1628" w:val="clear"/>
            <w:tcMar>
              <w:top w:type="dxa" w:w="80"/>
              <w:left w:type="dxa" w:w="100"/>
              <w:bottom w:type="dxa" w:w="80"/>
              <w:right w:type="dxa" w:w="100"/>
            </w:tcMar>
          </w:tcPr>
          <w:p>
            <w:r>
              <w:rPr>
                <w:rFonts w:ascii="Calibri" w:cs="Calibri" w:eastAsia="Calibri" w:hAnsi="Calibri"/>
                <w:b/>
                <w:bCs/>
                <w:color w:val="FFFFFF"/>
                <w:sz w:val="20"/>
                <w:szCs w:val="20"/>
              </w:rPr>
              <w:t xml:space="preserve">Vested Options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Resignation / voluntary termination</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Lapse immediately and are cancelled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Exercisable within [●] days of the last working day, after which they lapse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Termination for cause (fraud, misconduct, breach of contract)</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Lapse immediately</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Lapse immediately unless the Board decides otherwise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Death or permanent disability</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[Board discretion — consider full or partial acceleration]</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Exercisable by the Employee’s legal heir/nominee within [●] months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Retirement (if applicable)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Lapse unless Board decides otherwise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Exercisable within [●] months</w:t>
            </w:r>
          </w:p>
        </w:tc>
      </w:tr>
    </w:tbl>
    <w:p>
      <w:pPr>
        <w:spacing w:after="140"/>
      </w:pPr>
      <w:r>
        <w:rPr>
          <w:rFonts w:ascii="Calibri" w:cs="Calibri" w:eastAsia="Calibri" w:hAnsi="Calibri"/>
        </w:rPr>
        <w:t xml:space="preserve"/>
      </w:r>
    </w:p>
    <w:p>
      <w:pPr>
        <w:spacing w:after="140"/>
      </w:pPr>
      <w:r>
        <w:rPr>
          <w:rFonts w:ascii="Calibri" w:cs="Calibri" w:eastAsia="Calibri" w:hAnsi="Calibri"/>
        </w:rPr>
        <w:t xml:space="preserve">[Founders and counsel should confirm the exact good-leaver / bad-leaver treatment above — this is one of the most heavily negotiated parts of an ESOP scheme and default terms should not be adopted without discussion.]</w:t>
      </w:r>
    </w:p>
    <w:p>
      <w:pPr>
        <w:pStyle w:val="Heading1"/>
        <w:spacing w:after="140" w:before="280"/>
      </w:pPr>
      <w:r>
        <w:rPr>
          <w:rFonts w:ascii="Calibri" w:cs="Calibri" w:eastAsia="Calibri" w:hAnsi="Calibri"/>
        </w:rPr>
        <w:t xml:space="preserve">10. Non-Transferability</w:t>
      </w:r>
    </w:p>
    <w:p>
      <w:pPr>
        <w:spacing w:after="140"/>
      </w:pPr>
      <w:r>
        <w:rPr>
          <w:rFonts w:ascii="Calibri" w:cs="Calibri" w:eastAsia="Calibri" w:hAnsi="Calibri"/>
        </w:rPr>
        <w:t xml:space="preserve">Options granted under this Scheme are personal to the Employee and may not be transferred, pledged, or encumbered in any manner, and may not be exercised by any person other than the Employee, except by the Employee’s legal heir or nominee in the event of death, per Rule 12(3) of the Companies (Share Capital and Debentures) Rules, 2014.</w:t>
      </w:r>
    </w:p>
    <w:p>
      <w:pPr>
        <w:pStyle w:val="Heading1"/>
        <w:spacing w:after="140" w:before="280"/>
      </w:pPr>
      <w:r>
        <w:rPr>
          <w:rFonts w:ascii="Calibri" w:cs="Calibri" w:eastAsia="Calibri" w:hAnsi="Calibri"/>
        </w:rPr>
        <w:t xml:space="preserve">11. Adjustment for Corporate Actions</w:t>
      </w:r>
    </w:p>
    <w:p>
      <w:pPr>
        <w:spacing w:after="140"/>
      </w:pPr>
      <w:r>
        <w:rPr>
          <w:rFonts w:ascii="Calibri" w:cs="Calibri" w:eastAsia="Calibri" w:hAnsi="Calibri"/>
        </w:rPr>
        <w:t xml:space="preserve">In the event of a bonus issue, stock split, rights issue, consolidation, or similar corporate action affecting the Company’s equity share capital before Exercise, the Board shall make such equitable adjustments to the number of Options and/or Exercise Price as it considers appropriate, so that the Employee’s economic entitlement is neither enhanced nor diminished as a result.</w:t>
      </w:r>
    </w:p>
    <w:p>
      <w:pPr>
        <w:pStyle w:val="Heading1"/>
        <w:spacing w:after="140" w:before="280"/>
      </w:pPr>
      <w:r>
        <w:rPr>
          <w:rFonts w:ascii="Calibri" w:cs="Calibri" w:eastAsia="Calibri" w:hAnsi="Calibri"/>
        </w:rPr>
        <w:t xml:space="preserve">12. Taxation</w:t>
      </w:r>
    </w:p>
    <w:p>
      <w:pPr>
        <w:spacing w:after="140"/>
      </w:pPr>
      <w:r>
        <w:rPr>
          <w:rFonts w:ascii="Calibri" w:cs="Calibri" w:eastAsia="Calibri" w:hAnsi="Calibri"/>
        </w:rPr>
        <w:t xml:space="preserve">Employees are solely responsible for any tax arising from the grant, Vesting, Exercise, or sale of Options/shares under this Scheme. As a general position (subject to confirmation by a chartered accountant, as tax law changes frequently):</w:t>
      </w:r>
    </w:p>
    <w:p>
      <w:pPr>
        <w:pStyle w:val="ListParagraph"/>
        <w:numPr>
          <w:ilvl w:val="0"/>
          <w:numId w:val="2"/>
        </w:numPr>
        <w:spacing w:after="80"/>
      </w:pPr>
      <w:r>
        <w:rPr>
          <w:rFonts w:ascii="Calibri" w:cs="Calibri" w:eastAsia="Calibri" w:hAnsi="Calibri"/>
        </w:rPr>
        <w:t xml:space="preserve">On Exercise, the difference between the fair market value of the shares on the Exercise date and the Exercise Price is taxable as a perquisite under the head "Salaries," and the Company is required to deduct TDS accordingly.</w:t>
      </w:r>
    </w:p>
    <w:p>
      <w:pPr>
        <w:pStyle w:val="ListParagraph"/>
        <w:numPr>
          <w:ilvl w:val="0"/>
          <w:numId w:val="2"/>
        </w:numPr>
        <w:spacing w:after="80"/>
      </w:pPr>
      <w:r>
        <w:rPr>
          <w:rFonts w:ascii="Calibri" w:cs="Calibri" w:eastAsia="Calibri" w:hAnsi="Calibri"/>
        </w:rPr>
        <w:t xml:space="preserve">On subsequent sale of shares, capital gains tax applies on the difference between the sale price and the fair market value considered at Exercise.</w:t>
      </w:r>
    </w:p>
    <w:p>
      <w:pPr>
        <w:pStyle w:val="ListParagraph"/>
        <w:numPr>
          <w:ilvl w:val="0"/>
          <w:numId w:val="2"/>
        </w:numPr>
        <w:spacing w:after="80"/>
      </w:pPr>
      <w:r>
        <w:rPr>
          <w:rFonts w:ascii="Calibri" w:cs="Calibri" w:eastAsia="Calibri" w:hAnsi="Calibri"/>
        </w:rPr>
        <w:t xml:space="preserve">[If the Company holds a valid DPIIT / Section 80-IAC "eligible startup" certificate, employees may be entitled to defer the perquisite tax to the earliest of: (a) expiry of the deferral window from the end of the relevant tax year, (b) sale of the shares, or (c) cessation of employment. Confirm current deferral period and eligibility conditions with a tax advisor before communicating this to employees, as the applicable window has changed with the Income Tax Act, 2025.]</w:t>
      </w:r>
    </w:p>
    <w:p>
      <w:pPr>
        <w:pStyle w:val="Heading1"/>
        <w:spacing w:after="140" w:before="280"/>
      </w:pPr>
      <w:r>
        <w:rPr>
          <w:rFonts w:ascii="Calibri" w:cs="Calibri" w:eastAsia="Calibri" w:hAnsi="Calibri"/>
        </w:rPr>
        <w:t xml:space="preserve">13. Amendment and Termination of Scheme</w:t>
      </w:r>
    </w:p>
    <w:p>
      <w:pPr>
        <w:spacing w:after="140"/>
      </w:pPr>
      <w:r>
        <w:rPr>
          <w:rFonts w:ascii="Calibri" w:cs="Calibri" w:eastAsia="Calibri" w:hAnsi="Calibri"/>
        </w:rPr>
        <w:t xml:space="preserve">The Board may amend, suspend, or terminate this Scheme at any time, provided that no such amendment, suspension, or termination shall adversely affect the rights of an Employee under Options already granted, without that Employee’s written consent, per Rule 12(10) of the Companies (Share Capital and Debentures) Rules, 2014.</w:t>
      </w:r>
    </w:p>
    <w:p>
      <w:pPr>
        <w:pStyle w:val="Heading1"/>
        <w:spacing w:after="140" w:before="280"/>
      </w:pPr>
      <w:r>
        <w:rPr>
          <w:rFonts w:ascii="Calibri" w:cs="Calibri" w:eastAsia="Calibri" w:hAnsi="Calibri"/>
        </w:rPr>
        <w:t xml:space="preserve">14. Compliance and Record-Keeping</w:t>
      </w:r>
    </w:p>
    <w:p>
      <w:pPr>
        <w:pStyle w:val="ListParagraph"/>
        <w:numPr>
          <w:ilvl w:val="0"/>
          <w:numId w:val="2"/>
        </w:numPr>
        <w:spacing w:after="80"/>
      </w:pPr>
      <w:r>
        <w:rPr>
          <w:rFonts w:ascii="Calibri" w:cs="Calibri" w:eastAsia="Calibri" w:hAnsi="Calibri"/>
        </w:rPr>
        <w:t xml:space="preserve">The Company shall maintain a Register of Employee Stock Options in the form prescribed under Rule 12(11), recording particulars of Options granted to each Employee.</w:t>
      </w:r>
    </w:p>
    <w:p>
      <w:pPr>
        <w:pStyle w:val="ListParagraph"/>
        <w:numPr>
          <w:ilvl w:val="0"/>
          <w:numId w:val="2"/>
        </w:numPr>
        <w:spacing w:after="80"/>
      </w:pPr>
      <w:r>
        <w:rPr>
          <w:rFonts w:ascii="Calibri" w:cs="Calibri" w:eastAsia="Calibri" w:hAnsi="Calibri"/>
        </w:rPr>
        <w:t xml:space="preserve">Shareholder special resolution required before this Scheme takes effect; Form MGT-14 to be filed within 30 days of the resolution.</w:t>
      </w:r>
    </w:p>
    <w:p>
      <w:pPr>
        <w:pStyle w:val="ListParagraph"/>
        <w:numPr>
          <w:ilvl w:val="0"/>
          <w:numId w:val="2"/>
        </w:numPr>
        <w:spacing w:after="80"/>
      </w:pPr>
      <w:r>
        <w:rPr>
          <w:rFonts w:ascii="Calibri" w:cs="Calibri" w:eastAsia="Calibri" w:hAnsi="Calibri"/>
        </w:rPr>
        <w:t xml:space="preserve">Form PAS-3 to be filed with the Registrar of Companies on each allotment of shares pursuant to Exercise.</w:t>
      </w:r>
    </w:p>
    <w:p>
      <w:pPr>
        <w:pStyle w:val="ListParagraph"/>
        <w:numPr>
          <w:ilvl w:val="0"/>
          <w:numId w:val="2"/>
        </w:numPr>
        <w:spacing w:after="80"/>
      </w:pPr>
      <w:r>
        <w:rPr>
          <w:rFonts w:ascii="Calibri" w:cs="Calibri" w:eastAsia="Calibri" w:hAnsi="Calibri"/>
        </w:rPr>
        <w:t xml:space="preserve">Auditor’s certificate confirming the Scheme has been implemented in accordance with this document and with the shareholder resolution, to be placed before shareholders annually.</w:t>
      </w:r>
    </w:p>
    <w:p>
      <w:pPr>
        <w:pStyle w:val="Heading1"/>
        <w:spacing w:after="140" w:before="280"/>
      </w:pPr>
      <w:r>
        <w:rPr>
          <w:rFonts w:ascii="Calibri" w:cs="Calibri" w:eastAsia="Calibri" w:hAnsi="Calibri"/>
        </w:rPr>
        <w:t xml:space="preserve">15. Governing Law</w:t>
      </w:r>
    </w:p>
    <w:p>
      <w:pPr>
        <w:spacing w:after="140"/>
      </w:pPr>
      <w:r>
        <w:rPr>
          <w:rFonts w:ascii="Calibri" w:cs="Calibri" w:eastAsia="Calibri" w:hAnsi="Calibri"/>
        </w:rPr>
        <w:t xml:space="preserve">This Scheme is governed by the laws of India, including the Companies Act, 2013 and rules made thereunder. The courts at [city] shall have exclusive jurisdiction.</w:t>
      </w:r>
    </w:p>
    <w:p>
      <w:pPr>
        <w:pStyle w:val="Heading1"/>
        <w:spacing w:after="140" w:before="280"/>
      </w:pPr>
      <w:r>
        <w:rPr>
          <w:rFonts w:ascii="Calibri" w:cs="Calibri" w:eastAsia="Calibri" w:hAnsi="Calibri"/>
        </w:rPr>
        <w:t xml:space="preserve">16. Board and Shareholder Approval</w:t>
      </w:r>
    </w:p>
    <w:p>
      <w:pPr>
        <w:spacing w:after="140"/>
      </w:pPr>
      <w:r>
        <w:rPr>
          <w:rFonts w:ascii="Calibri" w:cs="Calibri" w:eastAsia="Calibri" w:hAnsi="Calibri"/>
        </w:rPr>
        <w:t xml:space="preserve">[This Scheme takes effect only upon: (a) approval by the Board of Directors by resolution, and (b) approval by the shareholders by special resolution, both to be recorded with dates and filed as required under Clause 14 above.]</w:t>
      </w:r>
    </w:p>
    <w:p>
      <w:pPr>
        <w:spacing w:after="140"/>
      </w:pPr>
      <w:r>
        <w:rPr>
          <w:rFonts w:ascii="Calibri" w:cs="Calibri" w:eastAsia="Calibri" w:hAnsi="Calibri"/>
        </w:rPr>
        <w:t xml:space="preserve"/>
      </w:r>
    </w:p>
    <w:p>
      <w:pPr>
        <w:spacing w:after="140"/>
      </w:pPr>
      <w:r>
        <w:rPr>
          <w:rFonts w:ascii="Calibri" w:cs="Calibri" w:eastAsia="Calibri" w:hAnsi="Calibri"/>
          <w:b/>
          <w:bCs/>
        </w:rPr>
        <w:t xml:space="preserve">Approved by the Board of Directors on: </w:t>
      </w:r>
      <w:r>
        <w:rPr>
          <w:rFonts w:ascii="Calibri" w:cs="Calibri" w:eastAsia="Calibri" w:hAnsi="Calibri"/>
        </w:rPr>
        <w:t xml:space="preserve">[date]</w:t>
      </w:r>
    </w:p>
    <w:p>
      <w:pPr>
        <w:spacing w:after="140"/>
      </w:pPr>
      <w:r>
        <w:rPr>
          <w:rFonts w:ascii="Calibri" w:cs="Calibri" w:eastAsia="Calibri" w:hAnsi="Calibri"/>
          <w:b/>
          <w:bCs/>
        </w:rPr>
        <w:t xml:space="preserve">Approved by Shareholders (Special Resolution) on: </w:t>
      </w:r>
      <w:r>
        <w:rPr>
          <w:rFonts w:ascii="Calibri" w:cs="Calibri" w:eastAsia="Calibri" w:hAnsi="Calibri"/>
        </w:rP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2026-07-15T17:44:43.827Z</dcterms:created>
  <dcterms:modified xsi:type="dcterms:W3CDTF">2026-07-15T17:44:43.831Z</dcterms:modified>
</cp:coreProperties>
</file>

<file path=docProps/custom.xml><?xml version="1.0" encoding="utf-8"?>
<Properties xmlns="http://schemas.openxmlformats.org/officeDocument/2006/custom-properties" xmlns:vt="http://schemas.openxmlformats.org/officeDocument/2006/docPropsVTypes"/>
</file>