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99d1e39f2e27f750698e3f781570d27e165194"/>
    <w:p>
      <w:pPr>
        <w:pStyle w:val="Heading1"/>
      </w:pPr>
      <w:r>
        <w:t xml:space="preserve">Multi-Cloud Asset Cost Optimization Portal — Requirements Table</w:t>
      </w:r>
    </w:p>
    <w:p>
      <w:pPr>
        <w:pStyle w:val="FirstParagraph"/>
      </w:pPr>
      <w:r>
        <w:rPr>
          <w:bCs/>
          <w:b/>
        </w:rPr>
        <w:t xml:space="preserve">PES University — Dept. of CSE — Lab 1: Requirements Engineering &amp; UML Use-Case Modelling</w:t>
      </w:r>
      <w:r>
        <w:t xml:space="preserve"> </w:t>
      </w:r>
      <w:r>
        <w:rPr>
          <w:bCs/>
          <w:b/>
        </w:rPr>
        <w:t xml:space="preserve">Problem Statement #45 — Developer Tools &amp; IT Operations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Akshay Kumar M</w:t>
      </w:r>
      <w:r>
        <w:t xml:space="preserve"> </w:t>
      </w:r>
      <w:r>
        <w:rPr>
          <w:bCs/>
          <w:b/>
        </w:rPr>
        <w:t xml:space="preserve">SRN:</w:t>
      </w:r>
      <w:r>
        <w:t xml:space="preserve"> </w:t>
      </w:r>
      <w:r>
        <w:t xml:space="preserve">PES1UG24CS045</w:t>
      </w:r>
    </w:p>
    <w:p>
      <w:pPr>
        <w:pStyle w:val="BodyText"/>
      </w:pPr>
      <w:r>
        <w:rPr>
          <w:bCs/>
          <w:b/>
        </w:rPr>
        <w:t xml:space="preserve">Target Stakeholders / Actors:</w:t>
      </w:r>
      <w:r>
        <w:t xml:space="preserve"> </w:t>
      </w:r>
      <w:r>
        <w:t xml:space="preserve">FinOps Analyst, Cloud Administrator</w:t>
      </w:r>
    </w:p>
    <w:p>
      <w:r>
        <w:pict>
          <v:rect style="width:0;height:1.5pt" o:hralign="center" o:hrstd="t" o:hr="t"/>
        </w:pict>
      </w:r>
    </w:p>
    <w:bookmarkStart w:id="25" w:name="functional-requirements"/>
    <w:p>
      <w:pPr>
        <w:pStyle w:val="Heading2"/>
      </w:pPr>
      <w:r>
        <w:t xml:space="preserve">Functional Requirements</w:t>
      </w:r>
    </w:p>
    <w:bookmarkStart w:id="20" w:name="fr-001"/>
    <w:p>
      <w:pPr>
        <w:pStyle w:val="Heading3"/>
      </w:pPr>
      <w:r>
        <w:t xml:space="preserve">FR-001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system shall ingest cloud billing CSV exports from AWS, Microsoft Azure, and Google Cloud Platform (uploaded by a Cloud Administrator) and categorize the resulting cost records by cloud provider, service, and project tag.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 valid billing CSV from any of the three supported providers is ingested without error, and every cost record is correctly tagged with provider, service, and project tag.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A row is stored with a missing or incorrect provider/service/project-tag classification, or a structurally valid CSV is rejected.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Provider-tagged, service-tagged ingestion is the foundation every other requirement builds on — costs cannot be analyzed, idle assets cannot be located, and budgets cannot be tracked without correctly classified billing data.</w:t>
      </w:r>
    </w:p>
    <w:p>
      <w:r>
        <w:pict>
          <v:rect style="width:0;height:1.5pt" o:hralign="center" o:hrstd="t" o:hr="t"/>
        </w:pict>
      </w:r>
    </w:p>
    <w:bookmarkEnd w:id="20"/>
    <w:bookmarkStart w:id="21" w:name="fr-002"/>
    <w:p>
      <w:pPr>
        <w:pStyle w:val="Heading3"/>
      </w:pPr>
      <w:r>
        <w:t xml:space="preserve">FR-002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system shall analyze ingested compute assets and flag any compute instance whose average CPU utilization is below 5% over a rolling 14-day window as an idle cloud asset.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An idle cloud asset is flagged with its resource ID, provider, and an estimated monthly savings figure.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An actively used instance (≥ 5% average CPU utilization over the 14-day window) is misclassified as idle.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Idle compute instances are one of the two primary sources of wasted multi-cloud spend named in the problem statement; automatic, threshold-based detection removes the need for manual utilization audits.</w:t>
      </w:r>
    </w:p>
    <w:p>
      <w:r>
        <w:pict>
          <v:rect style="width:0;height:1.5pt" o:hralign="center" o:hrstd="t" o:hr="t"/>
        </w:pict>
      </w:r>
    </w:p>
    <w:bookmarkEnd w:id="21"/>
    <w:bookmarkStart w:id="22" w:name="fr-003"/>
    <w:p>
      <w:pPr>
        <w:pStyle w:val="Heading3"/>
      </w:pPr>
      <w:r>
        <w:t xml:space="preserve">FR-003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system shall analyze ingested storage assets and flag any storage volume that is not attached to a running compute instance as unattached storage.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 storage volume with no active compute attachment is flagged with its resource ID, provider, and estimated monthly cost.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A storage volume that is actively attached to a running instance is incorrectly flagged as unattached.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Unattached storage volumes continue to accrue cost indefinitely with zero utility; detecting them is explicitly required by the problem statement alongside idle compute detection.</w:t>
      </w:r>
    </w:p>
    <w:p>
      <w:r>
        <w:pict>
          <v:rect style="width:0;height:1.5pt" o:hralign="center" o:hrstd="t" o:hr="t"/>
        </w:pict>
      </w:r>
    </w:p>
    <w:bookmarkEnd w:id="22"/>
    <w:bookmarkStart w:id="23" w:name="fr-004"/>
    <w:p>
      <w:pPr>
        <w:pStyle w:val="Heading3"/>
      </w:pPr>
      <w:r>
        <w:t xml:space="preserve">FR-004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system shall generate a cost-optimization recommendation for every asset flagged under FR-002 or FR-003, including a suggested action and an estimated potential monthly saving.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Every flagged idle or unattached asset has a corresponding recommendation with a suggested action (e.g.,</w:t>
      </w:r>
      <w:r>
        <w:t xml:space="preserve"> </w:t>
      </w:r>
      <w:r>
        <w:t xml:space="preserve">“</w:t>
      </w:r>
      <w:r>
        <w:t xml:space="preserve">terminate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resize</w:t>
      </w:r>
      <w:r>
        <w:t xml:space="preserve">”</w:t>
      </w:r>
      <w:r>
        <w:t xml:space="preserve">) and a non-zero estimated saving.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A flagged asset has no recommendation, or a recommendation is generated for an asset that was never flagged.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flagged asset without a concrete next step is not actionable; the FinOps Analyst needs a specific recommendation and a savings estimate to prioritize remediation work.</w:t>
      </w:r>
    </w:p>
    <w:p>
      <w:r>
        <w:pict>
          <v:rect style="width:0;height:1.5pt" o:hralign="center" o:hrstd="t" o:hr="t"/>
        </w:pict>
      </w:r>
    </w:p>
    <w:bookmarkEnd w:id="23"/>
    <w:bookmarkStart w:id="24" w:name="fr-005"/>
    <w:p>
      <w:pPr>
        <w:pStyle w:val="Heading3"/>
      </w:pPr>
      <w:r>
        <w:t xml:space="preserve">FR-005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system shall allow a FinOps Analyst to define a budget limit, continuously monitor cumulative cloud spending against it, and dispatch a budget breach alert when spending exceeds the defined limit.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When cumulative spend exceeds the defined budget limit, an alert is generated and is retrievable via the API with the breach amount and timestamp.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Spending exceeds the budget limit but no alert is generated, or an alert fires while spending is still within the limit.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Budget-breach alerting is the core proactive-monitoring capability named in the problem statement, letting teams intervene before overspend becomes severe.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non-functional-requirements"/>
    <w:p>
      <w:pPr>
        <w:pStyle w:val="Heading2"/>
      </w:pPr>
      <w:r>
        <w:t xml:space="preserve">Non-Functional Requirements</w:t>
      </w:r>
    </w:p>
    <w:bookmarkStart w:id="26" w:name="nfr-001"/>
    <w:p>
      <w:pPr>
        <w:pStyle w:val="Heading3"/>
      </w:pPr>
      <w:r>
        <w:t xml:space="preserve">NFR-001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portal must parse uploaded cloud billing files and update cost dashboards within an acceptable latency bound, so analysts are not blocked waiting on ingestion.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Benchmark tests confirm a billing CSV of up to 5,000 rows is fully ingested and reflected in cost analysis endpoints in under 5 seconds; up to 10,000 stored records return analysis results in under 2 seconds.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Ingestion or analysis exceeds the benchmarked latency target, or the API times out under normal load.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FinOps analysts check cost posture frequently; slow ingestion or analysis directly discourages regular use of the portal and delays detection of overspend.</w:t>
      </w:r>
    </w:p>
    <w:p>
      <w:r>
        <w:pict>
          <v:rect style="width:0;height:1.5pt" o:hralign="center" o:hrstd="t" o:hr="t"/>
        </w:pict>
      </w:r>
    </w:p>
    <w:bookmarkEnd w:id="26"/>
    <w:bookmarkStart w:id="27" w:name="nfr-002"/>
    <w:p>
      <w:pPr>
        <w:pStyle w:val="Heading3"/>
      </w:pPr>
      <w:r>
        <w:t xml:space="preserve">NFR-002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system must handle invalid billing data and internal errors gracefully, returning structured error responses instead of crashing or silently corrupting stored cost data.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Uploading a malformed or empty CSV returns a descriptive HTTP 4xx error, the API remains available afterward, and no partial/inconsistent records are left in the database.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A malformed upload crashes the API (HTTP 5xx / unhandled exception) or results in partially written, inconsistent billing records.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Real multi-cloud billing exports vary in format and are frequently messy; the portal must degrade gracefully so analysts can trust the cost data it displays even after a bad upload.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2026-08-27T09:30:56Z</dcterms:created>
  <dcterms:modified xsi:type="dcterms:W3CDTF">2026-08-27T09:30:56Z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