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use-case-flow-specification"/>
    <w:p>
      <w:pPr>
        <w:pStyle w:val="Heading1"/>
      </w:pPr>
      <w:r>
        <w:t xml:space="preserve">Use-Case Flow Specification</w:t>
      </w:r>
    </w:p>
    <w:p>
      <w:pPr>
        <w:pStyle w:val="FirstParagraph"/>
      </w:pPr>
      <w:r>
        <w:rPr>
          <w:bCs/>
          <w:b/>
        </w:rPr>
        <w:t xml:space="preserve">Multi-Cloud Asset Cost Optimization Portal</w:t>
      </w:r>
      <w:r>
        <w:t xml:space="preserve"> </w:t>
      </w:r>
      <w:r>
        <w:rPr>
          <w:bCs/>
          <w:b/>
        </w:rPr>
        <w:t xml:space="preserve">Author:</w:t>
      </w:r>
      <w:r>
        <w:t xml:space="preserve"> </w:t>
      </w:r>
      <w:r>
        <w:t xml:space="preserve">Akshay Kumar M |</w:t>
      </w:r>
      <w:r>
        <w:t xml:space="preserve"> </w:t>
      </w:r>
      <w:r>
        <w:rPr>
          <w:bCs/>
          <w:b/>
        </w:rPr>
        <w:t xml:space="preserve">SRN:</w:t>
      </w:r>
      <w:r>
        <w:t xml:space="preserve"> </w:t>
      </w:r>
      <w:r>
        <w:t xml:space="preserve">PES1UG24CS045</w:t>
      </w:r>
    </w:p>
    <w:p>
      <w:r>
        <w:pict>
          <v:rect style="width:0;height:1.5pt" o:hralign="center" o:hrstd="t" o:hr="t"/>
        </w:pict>
      </w:r>
    </w:p>
    <w:bookmarkStart w:id="27" w:name="use-case-detect-idle-compute-instances"/>
    <w:p>
      <w:pPr>
        <w:pStyle w:val="Heading2"/>
      </w:pPr>
      <w:r>
        <w:t xml:space="preserve">Use Case: Detect Idle Compute Instances</w:t>
      </w:r>
    </w:p>
    <w:p>
      <w:pPr>
        <w:pStyle w:val="FirstParagraph"/>
      </w:pPr>
      <w:r>
        <w:rPr>
          <w:bCs/>
          <w:b/>
        </w:rPr>
        <w:t xml:space="preserve">ID:</w:t>
      </w:r>
      <w:r>
        <w:t xml:space="preserve"> </w:t>
      </w:r>
      <w:r>
        <w:t xml:space="preserve">UC-003</w:t>
      </w:r>
      <w:r>
        <w:t xml:space="preserve"> </w:t>
      </w:r>
      <w:r>
        <w:rPr>
          <w:bCs/>
          <w:b/>
        </w:rPr>
        <w:t xml:space="preserve">Related Requirement:</w:t>
      </w:r>
      <w:r>
        <w:t xml:space="preserve"> </w:t>
      </w:r>
      <w:r>
        <w:t xml:space="preserve">FR-002</w:t>
      </w:r>
      <w:r>
        <w:t xml:space="preserve"> </w:t>
      </w:r>
      <w:r>
        <w:rPr>
          <w:bCs/>
          <w:b/>
        </w:rPr>
        <w:t xml:space="preserve">Primary Actor:</w:t>
      </w:r>
      <w:r>
        <w:t xml:space="preserve"> </w:t>
      </w:r>
      <w:r>
        <w:t xml:space="preserve">FinOps Analyst</w:t>
      </w:r>
      <w:r>
        <w:t xml:space="preserve"> </w:t>
      </w:r>
      <w:r>
        <w:rPr>
          <w:bCs/>
          <w:b/>
        </w:rPr>
        <w:t xml:space="preserve">Secondary Actor:</w:t>
      </w:r>
      <w:r>
        <w:t xml:space="preserve"> </w:t>
      </w:r>
      <w:r>
        <w:t xml:space="preserve">Cloud Administrator (indirectly, as the source of the underlying billing data)</w:t>
      </w:r>
    </w:p>
    <w:bookmarkStart w:id="20" w:name="brief-description"/>
    <w:p>
      <w:pPr>
        <w:pStyle w:val="Heading3"/>
      </w:pPr>
      <w:r>
        <w:t xml:space="preserve">Brief Description</w:t>
      </w:r>
    </w:p>
    <w:p>
      <w:pPr>
        <w:pStyle w:val="FirstParagraph"/>
      </w:pPr>
      <w:r>
        <w:t xml:space="preserve">The FinOps Analyst requests an idle-compute scan over the currently ingested cloud assets. The system evaluates each compute instance’s average CPU utilization over the trailing 14-day window and flags any instance below the 5% utilization threshold as idle, returning each flagged instance with its provider, resource ID, and estimated monthly cost impact.</w:t>
      </w:r>
    </w:p>
    <w:p>
      <w:r>
        <w:pict>
          <v:rect style="width:0;height:1.5pt" o:hralign="center" o:hrstd="t" o:hr="t"/>
        </w:pict>
      </w:r>
    </w:p>
    <w:bookmarkEnd w:id="20"/>
    <w:bookmarkStart w:id="21" w:name="preconditions"/>
    <w:p>
      <w:pPr>
        <w:pStyle w:val="Heading3"/>
      </w:pPr>
      <w:r>
        <w:t xml:space="preserve">Preconditions</w:t>
      </w:r>
    </w:p>
    <w:p>
      <w:pPr>
        <w:numPr>
          <w:ilvl w:val="0"/>
          <w:numId w:val="1001"/>
        </w:numPr>
        <w:pStyle w:val="Compact"/>
      </w:pPr>
      <w:r>
        <w:t xml:space="preserve">At least one billing CSV has already been successfully uploaded and ingested (Use Case:</w:t>
      </w:r>
      <w:r>
        <w:t xml:space="preserve"> </w:t>
      </w:r>
      <w:r>
        <w:rPr>
          <w:iCs/>
          <w:i/>
        </w:rPr>
        <w:t xml:space="preserve">Upload Billing CSV</w:t>
      </w:r>
      <w:r>
        <w:t xml:space="preserve">).</w:t>
      </w:r>
    </w:p>
    <w:p>
      <w:pPr>
        <w:numPr>
          <w:ilvl w:val="0"/>
          <w:numId w:val="1001"/>
        </w:numPr>
        <w:pStyle w:val="Compact"/>
      </w:pPr>
      <w:r>
        <w:t xml:space="preserve">The ingested data contains compute-type assets with recorded utilization values for the analysis window.</w:t>
      </w:r>
    </w:p>
    <w:p>
      <w:pPr>
        <w:numPr>
          <w:ilvl w:val="0"/>
          <w:numId w:val="1001"/>
        </w:numPr>
        <w:pStyle w:val="Compact"/>
      </w:pPr>
      <w:r>
        <w:t xml:space="preserve">The FinOps Analyst is authenticated and has access to the cost-analysis section of the portal.</w:t>
      </w:r>
    </w:p>
    <w:bookmarkEnd w:id="21"/>
    <w:bookmarkStart w:id="22" w:name="postconditions"/>
    <w:p>
      <w:pPr>
        <w:pStyle w:val="Heading3"/>
      </w:pPr>
      <w:r>
        <w:t xml:space="preserve">Postconditions</w:t>
      </w:r>
    </w:p>
    <w:p>
      <w:pPr>
        <w:pStyle w:val="FirstParagraph"/>
      </w:pPr>
      <w:r>
        <w:rPr>
          <w:bCs/>
          <w:b/>
        </w:rPr>
        <w:t xml:space="preserve">Success postcondition:</w:t>
      </w:r>
      <w:r>
        <w:t xml:space="preserve"> </w:t>
      </w:r>
      <w:r>
        <w:t xml:space="preserve">The system has produced a list of zero or more idle compute instances, each persisted with its provider, resource identifier, average utilization, and estimated monthly savings, and this list is available to be consumed by the</w:t>
      </w:r>
      <w:r>
        <w:t xml:space="preserve"> </w:t>
      </w:r>
      <w:r>
        <w:rPr>
          <w:iCs/>
          <w:i/>
        </w:rPr>
        <w:t xml:space="preserve">Generate Optimization Recommendations</w:t>
      </w:r>
      <w:r>
        <w:t xml:space="preserve"> </w:t>
      </w:r>
      <w:r>
        <w:t xml:space="preserve">use case.</w:t>
      </w:r>
    </w:p>
    <w:p>
      <w:pPr>
        <w:pStyle w:val="BodyText"/>
      </w:pPr>
      <w:r>
        <w:rPr>
          <w:bCs/>
          <w:b/>
        </w:rPr>
        <w:t xml:space="preserve">Failure postcondition:</w:t>
      </w:r>
      <w:r>
        <w:t xml:space="preserve"> </w:t>
      </w:r>
      <w:r>
        <w:t xml:space="preserve">No idle-instance records are created or updated; the system state is unchanged from before the request, and the analyst is shown an error explaining why the scan could not complete.</w:t>
      </w:r>
    </w:p>
    <w:p>
      <w:r>
        <w:pict>
          <v:rect style="width:0;height:1.5pt" o:hralign="center" o:hrstd="t" o:hr="t"/>
        </w:pict>
      </w:r>
    </w:p>
    <w:bookmarkEnd w:id="22"/>
    <w:bookmarkStart w:id="23" w:name="main-success-scenario"/>
    <w:p>
      <w:pPr>
        <w:pStyle w:val="Heading3"/>
      </w:pPr>
      <w:r>
        <w:t xml:space="preserve">Main Success Scenario</w:t>
      </w:r>
    </w:p>
    <w:p>
      <w:pPr>
        <w:numPr>
          <w:ilvl w:val="0"/>
          <w:numId w:val="1002"/>
        </w:numPr>
        <w:pStyle w:val="Compact"/>
      </w:pPr>
      <w:r>
        <w:t xml:space="preserve">The FinOps Analyst selects</w:t>
      </w:r>
      <w:r>
        <w:t xml:space="preserve"> </w:t>
      </w:r>
      <w:r>
        <w:t xml:space="preserve">“</w:t>
      </w:r>
      <w:r>
        <w:t xml:space="preserve">Detect Idle Compute Instances</w:t>
      </w:r>
      <w:r>
        <w:t xml:space="preserve">”</w:t>
      </w:r>
      <w:r>
        <w:t xml:space="preserve"> </w:t>
      </w:r>
      <w:r>
        <w:t xml:space="preserve">from the cost-analysis dashboard (optionally scoped to a provider and/or date range).</w:t>
      </w:r>
    </w:p>
    <w:p>
      <w:pPr>
        <w:numPr>
          <w:ilvl w:val="0"/>
          <w:numId w:val="1002"/>
        </w:numPr>
        <w:pStyle w:val="Compact"/>
      </w:pPr>
      <w:r>
        <w:t xml:space="preserve">The system retrieves all compute-type assets from the ingested billing data that fall within the requested scope.</w:t>
      </w:r>
    </w:p>
    <w:p>
      <w:pPr>
        <w:numPr>
          <w:ilvl w:val="0"/>
          <w:numId w:val="1002"/>
        </w:numPr>
        <w:pStyle w:val="Compact"/>
      </w:pPr>
      <w:r>
        <w:t xml:space="preserve">For each compute asset, the system calculates the average CPU utilization over the trailing 14-day window.</w:t>
      </w:r>
    </w:p>
    <w:p>
      <w:pPr>
        <w:numPr>
          <w:ilvl w:val="0"/>
          <w:numId w:val="1002"/>
        </w:numPr>
        <w:pStyle w:val="Compact"/>
      </w:pPr>
      <w:r>
        <w:t xml:space="preserve">The system compares each asset’s average utilization against the configured idle threshold (default: 5%).</w:t>
      </w:r>
    </w:p>
    <w:p>
      <w:pPr>
        <w:numPr>
          <w:ilvl w:val="0"/>
          <w:numId w:val="1002"/>
        </w:numPr>
        <w:pStyle w:val="Compact"/>
      </w:pPr>
      <w:r>
        <w:t xml:space="preserve">The system flags every asset whose average utilization is below the threshold as idle and computes an estimated monthly saving based on that asset’s current cost rate.</w:t>
      </w:r>
    </w:p>
    <w:p>
      <w:pPr>
        <w:numPr>
          <w:ilvl w:val="0"/>
          <w:numId w:val="1002"/>
        </w:numPr>
        <w:pStyle w:val="Compact"/>
      </w:pPr>
      <w:r>
        <w:t xml:space="preserve">The system persists the flagged idle assets and returns them to the analyst as a structured list, sorted by estimated savings (highest first).</w:t>
      </w:r>
    </w:p>
    <w:p>
      <w:pPr>
        <w:numPr>
          <w:ilvl w:val="0"/>
          <w:numId w:val="1002"/>
        </w:numPr>
        <w:pStyle w:val="Compact"/>
      </w:pPr>
      <w:r>
        <w:t xml:space="preserve">The FinOps Analyst reviews the list of flagged idle instances on the dashboard.</w:t>
      </w:r>
    </w:p>
    <w:bookmarkEnd w:id="23"/>
    <w:bookmarkStart w:id="24" w:name="Xf446f611a8d88be462d7f5dd9bce303441d5189"/>
    <w:p>
      <w:pPr>
        <w:pStyle w:val="Heading3"/>
      </w:pPr>
      <w:r>
        <w:t xml:space="preserve">Alternate Flow — A1: No Idle Instances Found</w:t>
      </w:r>
    </w:p>
    <w:p>
      <w:pPr>
        <w:pStyle w:val="FirstParagraph"/>
      </w:pPr>
      <w:r>
        <w:rPr>
          <w:bCs/>
          <w:b/>
        </w:rPr>
        <w:t xml:space="preserve">Trigger:</w:t>
      </w:r>
      <w:r>
        <w:t xml:space="preserve"> </w:t>
      </w:r>
      <w:r>
        <w:t xml:space="preserve">At step 5, no compute asset’s average utilization falls below the idle threshold.</w:t>
      </w:r>
    </w:p>
    <w:p>
      <w:pPr>
        <w:numPr>
          <w:ilvl w:val="0"/>
          <w:numId w:val="1003"/>
        </w:numPr>
        <w:pStyle w:val="Compact"/>
      </w:pPr>
      <w:r>
        <w:t xml:space="preserve">The system completes the scan across all in-scope compute assets as normal (steps 2–4).</w:t>
      </w:r>
    </w:p>
    <w:p>
      <w:pPr>
        <w:numPr>
          <w:ilvl w:val="0"/>
          <w:numId w:val="1003"/>
        </w:numPr>
        <w:pStyle w:val="Compact"/>
      </w:pPr>
      <w:r>
        <w:t xml:space="preserve">The system determines that zero assets meet the idle criterion.</w:t>
      </w:r>
    </w:p>
    <w:p>
      <w:pPr>
        <w:numPr>
          <w:ilvl w:val="0"/>
          <w:numId w:val="1003"/>
        </w:numPr>
        <w:pStyle w:val="Compact"/>
      </w:pPr>
      <w:r>
        <w:t xml:space="preserve">The system returns an empty result set along with a summary message (e.g.,</w:t>
      </w:r>
      <w:r>
        <w:t xml:space="preserve"> </w:t>
      </w:r>
      <w:r>
        <w:t xml:space="preserve">“</w:t>
      </w:r>
      <w:r>
        <w:t xml:space="preserve">No idle compute instances detected in the selected scope — all instances meet the minimum utilization threshold</w:t>
      </w:r>
      <w:r>
        <w:t xml:space="preserve">”</w:t>
      </w:r>
      <w:r>
        <w:t xml:space="preserve">).</w:t>
      </w:r>
    </w:p>
    <w:p>
      <w:pPr>
        <w:numPr>
          <w:ilvl w:val="0"/>
          <w:numId w:val="1003"/>
        </w:numPr>
        <w:pStyle w:val="Compact"/>
      </w:pPr>
      <w:r>
        <w:t xml:space="preserve">The FinOps Analyst is informed that the environment currently shows no idle-compute waste; no recommendation records are generated for this scan.</w:t>
      </w:r>
    </w:p>
    <w:p>
      <w:pPr>
        <w:numPr>
          <w:ilvl w:val="0"/>
          <w:numId w:val="1003"/>
        </w:numPr>
        <w:pStyle w:val="Compact"/>
      </w:pPr>
      <w:r>
        <w:t xml:space="preserve">The use case ends in the success postcondition state, with an empty idle-asset list.</w:t>
      </w:r>
    </w:p>
    <w:p>
      <w:r>
        <w:pict>
          <v:rect style="width:0;height:1.5pt" o:hralign="center" o:hrstd="t" o:hr="t"/>
        </w:pict>
      </w:r>
    </w:p>
    <w:bookmarkEnd w:id="24"/>
    <w:bookmarkStart w:id="25" w:name="special-requirements"/>
    <w:p>
      <w:pPr>
        <w:pStyle w:val="Heading3"/>
      </w:pPr>
      <w:r>
        <w:t xml:space="preserve">Special Requirements</w:t>
      </w:r>
    </w:p>
    <w:p>
      <w:pPr>
        <w:numPr>
          <w:ilvl w:val="0"/>
          <w:numId w:val="1004"/>
        </w:numPr>
        <w:pStyle w:val="Compact"/>
      </w:pPr>
      <w:r>
        <w:t xml:space="preserve">The idle-utilization threshold (default 5%) and the evaluation window (default 14 days) must be configurable rather than hard-coded, per FR-002.</w:t>
      </w:r>
    </w:p>
    <w:p>
      <w:pPr>
        <w:numPr>
          <w:ilvl w:val="0"/>
          <w:numId w:val="1004"/>
        </w:numPr>
        <w:pStyle w:val="Compact"/>
      </w:pPr>
      <w:r>
        <w:t xml:space="preserve">The scan must complete within the latency bound defined in NFR-001 for the given dataset size.</w:t>
      </w:r>
    </w:p>
    <w:bookmarkEnd w:id="25"/>
    <w:bookmarkStart w:id="26" w:name="frequency-of-use"/>
    <w:p>
      <w:pPr>
        <w:pStyle w:val="Heading3"/>
      </w:pPr>
      <w:r>
        <w:t xml:space="preserve">Frequency of Use</w:t>
      </w:r>
    </w:p>
    <w:p>
      <w:pPr>
        <w:pStyle w:val="FirstParagraph"/>
      </w:pPr>
      <w:r>
        <w:t xml:space="preserve">Expected to be run on-demand by the FinOps Analyst, and automatically re-triggered whenever new billing data is ingested for a provider already in scope.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2026-08-27T09:30:56Z</dcterms:created>
  <dcterms:modified xsi:type="dcterms:W3CDTF">2026-08-27T09:30:56Z</dcterms:modified>
</cp:coreProperties>
</file>

<file path=docProps/custom.xml><?xml version="1.0" encoding="utf-8"?>
<Properties xmlns="http://schemas.openxmlformats.org/officeDocument/2006/custom-properties" xmlns:vt="http://schemas.openxmlformats.org/officeDocument/2006/docPropsVTypes"/>
</file>