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872"/>
        <w:tblW w:w="10345" w:type="dxa"/>
        <w:tblLook w:val="04A0" w:firstRow="1" w:lastRow="0" w:firstColumn="1" w:lastColumn="0" w:noHBand="0" w:noVBand="1"/>
      </w:tblPr>
      <w:tblGrid>
        <w:gridCol w:w="1420"/>
        <w:gridCol w:w="320"/>
        <w:gridCol w:w="1900"/>
        <w:gridCol w:w="1120"/>
        <w:gridCol w:w="3260"/>
        <w:gridCol w:w="2325"/>
      </w:tblGrid>
      <w:tr w:rsidR="007600CE" w:rsidRPr="007600CE" w14:paraId="08F171CF" w14:textId="77777777" w:rsidTr="00BA392A">
        <w:trPr>
          <w:trHeight w:val="264"/>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9A3A7"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time t (annual)</w:t>
            </w:r>
          </w:p>
        </w:tc>
        <w:tc>
          <w:tcPr>
            <w:tcW w:w="33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3C811D1"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Cash flow (CF) at time t</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D6031B9"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Present discounted CFs at year 0</w:t>
            </w:r>
          </w:p>
        </w:tc>
        <w:tc>
          <w:tcPr>
            <w:tcW w:w="2325" w:type="dxa"/>
            <w:tcBorders>
              <w:top w:val="single" w:sz="4" w:space="0" w:color="auto"/>
              <w:left w:val="nil"/>
              <w:bottom w:val="single" w:sz="4" w:space="0" w:color="auto"/>
              <w:right w:val="single" w:sz="4" w:space="0" w:color="auto"/>
            </w:tcBorders>
            <w:shd w:val="clear" w:color="auto" w:fill="auto"/>
            <w:noWrap/>
            <w:vAlign w:val="bottom"/>
            <w:hideMark/>
          </w:tcPr>
          <w:p w14:paraId="6E608C40"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 xml:space="preserve">Bond price </w:t>
            </w:r>
            <w:proofErr w:type="spellStart"/>
            <w:r w:rsidRPr="007600CE">
              <w:rPr>
                <w:rFonts w:ascii="Arial" w:eastAsia="Times New Roman" w:hAnsi="Arial" w:cs="Arial"/>
                <w:kern w:val="0"/>
                <w:sz w:val="20"/>
                <w:szCs w:val="20"/>
                <w:lang w:eastAsia="en-IN"/>
                <w14:ligatures w14:val="none"/>
              </w:rPr>
              <w:t>P_</w:t>
            </w:r>
            <w:proofErr w:type="gramStart"/>
            <w:r w:rsidRPr="007600CE">
              <w:rPr>
                <w:rFonts w:ascii="Arial" w:eastAsia="Times New Roman" w:hAnsi="Arial" w:cs="Arial"/>
                <w:kern w:val="0"/>
                <w:sz w:val="20"/>
                <w:szCs w:val="20"/>
                <w:lang w:eastAsia="en-IN"/>
                <w14:ligatures w14:val="none"/>
              </w:rPr>
              <w:t>t</w:t>
            </w:r>
            <w:proofErr w:type="spellEnd"/>
            <w:r w:rsidRPr="007600CE">
              <w:rPr>
                <w:rFonts w:ascii="Arial" w:eastAsia="Times New Roman" w:hAnsi="Arial" w:cs="Arial"/>
                <w:kern w:val="0"/>
                <w:sz w:val="20"/>
                <w:szCs w:val="20"/>
                <w:lang w:eastAsia="en-IN"/>
                <w14:ligatures w14:val="none"/>
              </w:rPr>
              <w:t>(</w:t>
            </w:r>
            <w:proofErr w:type="gramEnd"/>
            <w:r w:rsidRPr="007600CE">
              <w:rPr>
                <w:rFonts w:ascii="Arial" w:eastAsia="Times New Roman" w:hAnsi="Arial" w:cs="Arial"/>
                <w:kern w:val="0"/>
                <w:sz w:val="20"/>
                <w:szCs w:val="20"/>
                <w:lang w:eastAsia="en-IN"/>
                <w14:ligatures w14:val="none"/>
              </w:rPr>
              <w:t>10)</w:t>
            </w:r>
          </w:p>
        </w:tc>
      </w:tr>
      <w:tr w:rsidR="007600CE" w:rsidRPr="007600CE" w14:paraId="305C1ED3"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1A7BDBC"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0</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0B269D3B"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0</w:t>
            </w:r>
          </w:p>
        </w:tc>
        <w:tc>
          <w:tcPr>
            <w:tcW w:w="3260" w:type="dxa"/>
            <w:tcBorders>
              <w:top w:val="nil"/>
              <w:left w:val="nil"/>
              <w:bottom w:val="single" w:sz="4" w:space="0" w:color="auto"/>
              <w:right w:val="single" w:sz="4" w:space="0" w:color="auto"/>
            </w:tcBorders>
            <w:shd w:val="clear" w:color="auto" w:fill="auto"/>
            <w:noWrap/>
            <w:vAlign w:val="bottom"/>
            <w:hideMark/>
          </w:tcPr>
          <w:p w14:paraId="636AA24B"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0</w:t>
            </w:r>
          </w:p>
        </w:tc>
        <w:tc>
          <w:tcPr>
            <w:tcW w:w="2325" w:type="dxa"/>
            <w:tcBorders>
              <w:top w:val="nil"/>
              <w:left w:val="nil"/>
              <w:bottom w:val="single" w:sz="4" w:space="0" w:color="auto"/>
              <w:right w:val="single" w:sz="4" w:space="0" w:color="auto"/>
            </w:tcBorders>
            <w:shd w:val="clear" w:color="auto" w:fill="auto"/>
            <w:noWrap/>
            <w:vAlign w:val="bottom"/>
            <w:hideMark/>
          </w:tcPr>
          <w:p w14:paraId="0CE10A7D"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92.27826507</w:t>
            </w:r>
          </w:p>
        </w:tc>
      </w:tr>
      <w:tr w:rsidR="007600CE" w:rsidRPr="007600CE" w14:paraId="769AA77E"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9174E15"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1</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6E1B55C4"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29B62DC0"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3.80952381</w:t>
            </w:r>
          </w:p>
        </w:tc>
        <w:tc>
          <w:tcPr>
            <w:tcW w:w="2325" w:type="dxa"/>
            <w:tcBorders>
              <w:top w:val="nil"/>
              <w:left w:val="nil"/>
              <w:bottom w:val="single" w:sz="4" w:space="0" w:color="auto"/>
              <w:right w:val="single" w:sz="4" w:space="0" w:color="auto"/>
            </w:tcBorders>
            <w:shd w:val="clear" w:color="auto" w:fill="auto"/>
            <w:noWrap/>
            <w:vAlign w:val="bottom"/>
            <w:hideMark/>
          </w:tcPr>
          <w:p w14:paraId="4D05E7CE"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88.46874126</w:t>
            </w:r>
          </w:p>
        </w:tc>
      </w:tr>
      <w:tr w:rsidR="007600CE" w:rsidRPr="007600CE" w14:paraId="56FA2C98"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6188EED"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2</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172FE135"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22DF7031"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3.628117914</w:t>
            </w:r>
          </w:p>
        </w:tc>
        <w:tc>
          <w:tcPr>
            <w:tcW w:w="2325" w:type="dxa"/>
            <w:tcBorders>
              <w:top w:val="nil"/>
              <w:left w:val="nil"/>
              <w:bottom w:val="single" w:sz="4" w:space="0" w:color="auto"/>
              <w:right w:val="single" w:sz="4" w:space="0" w:color="auto"/>
            </w:tcBorders>
            <w:shd w:val="clear" w:color="auto" w:fill="auto"/>
            <w:noWrap/>
            <w:vAlign w:val="bottom"/>
            <w:hideMark/>
          </w:tcPr>
          <w:p w14:paraId="70DFDBA5"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84.84062335</w:t>
            </w:r>
          </w:p>
        </w:tc>
      </w:tr>
      <w:tr w:rsidR="007600CE" w:rsidRPr="007600CE" w14:paraId="19FEF3A5"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8DB389"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3</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152D7354"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0BAE07DB"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3.455350394</w:t>
            </w:r>
          </w:p>
        </w:tc>
        <w:tc>
          <w:tcPr>
            <w:tcW w:w="2325" w:type="dxa"/>
            <w:tcBorders>
              <w:top w:val="nil"/>
              <w:left w:val="nil"/>
              <w:bottom w:val="single" w:sz="4" w:space="0" w:color="auto"/>
              <w:right w:val="single" w:sz="4" w:space="0" w:color="auto"/>
            </w:tcBorders>
            <w:shd w:val="clear" w:color="auto" w:fill="auto"/>
            <w:noWrap/>
            <w:vAlign w:val="bottom"/>
            <w:hideMark/>
          </w:tcPr>
          <w:p w14:paraId="2E7001B9"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81.38527295</w:t>
            </w:r>
          </w:p>
        </w:tc>
      </w:tr>
      <w:tr w:rsidR="007600CE" w:rsidRPr="007600CE" w14:paraId="6DFD8B9F"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4D5C7D2"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785FBD0B"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0BE45592"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3.290809899</w:t>
            </w:r>
          </w:p>
        </w:tc>
        <w:tc>
          <w:tcPr>
            <w:tcW w:w="2325" w:type="dxa"/>
            <w:tcBorders>
              <w:top w:val="nil"/>
              <w:left w:val="nil"/>
              <w:bottom w:val="single" w:sz="4" w:space="0" w:color="auto"/>
              <w:right w:val="single" w:sz="4" w:space="0" w:color="auto"/>
            </w:tcBorders>
            <w:shd w:val="clear" w:color="auto" w:fill="auto"/>
            <w:noWrap/>
            <w:vAlign w:val="bottom"/>
            <w:hideMark/>
          </w:tcPr>
          <w:p w14:paraId="51B37E35"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78.09446305</w:t>
            </w:r>
          </w:p>
        </w:tc>
      </w:tr>
      <w:tr w:rsidR="007600CE" w:rsidRPr="007600CE" w14:paraId="7C1C2441"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2E240D5"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5</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2CDDFEC7"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5B83D223"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3.134104666</w:t>
            </w:r>
          </w:p>
        </w:tc>
        <w:tc>
          <w:tcPr>
            <w:tcW w:w="2325" w:type="dxa"/>
            <w:tcBorders>
              <w:top w:val="nil"/>
              <w:left w:val="nil"/>
              <w:bottom w:val="single" w:sz="4" w:space="0" w:color="auto"/>
              <w:right w:val="single" w:sz="4" w:space="0" w:color="auto"/>
            </w:tcBorders>
            <w:shd w:val="clear" w:color="auto" w:fill="auto"/>
            <w:noWrap/>
            <w:vAlign w:val="bottom"/>
            <w:hideMark/>
          </w:tcPr>
          <w:p w14:paraId="6B216B3E"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74.96035839</w:t>
            </w:r>
          </w:p>
        </w:tc>
      </w:tr>
      <w:tr w:rsidR="007600CE" w:rsidRPr="007600CE" w14:paraId="73E418F8"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EA7BFD5"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6</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64772FB5"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4B6E3115"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2.984861587</w:t>
            </w:r>
          </w:p>
        </w:tc>
        <w:tc>
          <w:tcPr>
            <w:tcW w:w="2325" w:type="dxa"/>
            <w:tcBorders>
              <w:top w:val="nil"/>
              <w:left w:val="nil"/>
              <w:bottom w:val="single" w:sz="4" w:space="0" w:color="auto"/>
              <w:right w:val="single" w:sz="4" w:space="0" w:color="auto"/>
            </w:tcBorders>
            <w:shd w:val="clear" w:color="auto" w:fill="auto"/>
            <w:noWrap/>
            <w:vAlign w:val="bottom"/>
            <w:hideMark/>
          </w:tcPr>
          <w:p w14:paraId="5D5DD5E8"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71.9754968</w:t>
            </w:r>
          </w:p>
        </w:tc>
      </w:tr>
      <w:tr w:rsidR="007600CE" w:rsidRPr="007600CE" w14:paraId="71F863A0"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9ECD52"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7</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37377391"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65596507"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2.842725321</w:t>
            </w:r>
          </w:p>
        </w:tc>
        <w:tc>
          <w:tcPr>
            <w:tcW w:w="2325" w:type="dxa"/>
            <w:tcBorders>
              <w:top w:val="nil"/>
              <w:left w:val="nil"/>
              <w:bottom w:val="single" w:sz="4" w:space="0" w:color="auto"/>
              <w:right w:val="single" w:sz="4" w:space="0" w:color="auto"/>
            </w:tcBorders>
            <w:shd w:val="clear" w:color="auto" w:fill="auto"/>
            <w:noWrap/>
            <w:vAlign w:val="bottom"/>
            <w:hideMark/>
          </w:tcPr>
          <w:p w14:paraId="3185B834"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69.13277148</w:t>
            </w:r>
          </w:p>
        </w:tc>
      </w:tr>
      <w:tr w:rsidR="007600CE" w:rsidRPr="007600CE" w14:paraId="639584BE"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112EEEE"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8</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2E64F967"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72C0AF32"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2.707357448</w:t>
            </w:r>
          </w:p>
        </w:tc>
        <w:tc>
          <w:tcPr>
            <w:tcW w:w="2325" w:type="dxa"/>
            <w:tcBorders>
              <w:top w:val="nil"/>
              <w:left w:val="nil"/>
              <w:bottom w:val="single" w:sz="4" w:space="0" w:color="auto"/>
              <w:right w:val="single" w:sz="4" w:space="0" w:color="auto"/>
            </w:tcBorders>
            <w:shd w:val="clear" w:color="auto" w:fill="auto"/>
            <w:noWrap/>
            <w:vAlign w:val="bottom"/>
            <w:hideMark/>
          </w:tcPr>
          <w:p w14:paraId="650DF5A4"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66.42541403</w:t>
            </w:r>
          </w:p>
        </w:tc>
      </w:tr>
      <w:tr w:rsidR="007600CE" w:rsidRPr="007600CE" w14:paraId="38D40E13"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A126A00"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9</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2F79814E"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4</w:t>
            </w:r>
          </w:p>
        </w:tc>
        <w:tc>
          <w:tcPr>
            <w:tcW w:w="3260" w:type="dxa"/>
            <w:tcBorders>
              <w:top w:val="nil"/>
              <w:left w:val="nil"/>
              <w:bottom w:val="single" w:sz="4" w:space="0" w:color="auto"/>
              <w:right w:val="single" w:sz="4" w:space="0" w:color="auto"/>
            </w:tcBorders>
            <w:shd w:val="clear" w:color="auto" w:fill="auto"/>
            <w:noWrap/>
            <w:vAlign w:val="bottom"/>
            <w:hideMark/>
          </w:tcPr>
          <w:p w14:paraId="63625830"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2.578435665</w:t>
            </w:r>
          </w:p>
        </w:tc>
        <w:tc>
          <w:tcPr>
            <w:tcW w:w="2325" w:type="dxa"/>
            <w:tcBorders>
              <w:top w:val="nil"/>
              <w:left w:val="nil"/>
              <w:bottom w:val="single" w:sz="4" w:space="0" w:color="auto"/>
              <w:right w:val="single" w:sz="4" w:space="0" w:color="auto"/>
            </w:tcBorders>
            <w:shd w:val="clear" w:color="auto" w:fill="auto"/>
            <w:noWrap/>
            <w:vAlign w:val="bottom"/>
            <w:hideMark/>
          </w:tcPr>
          <w:p w14:paraId="4EDE14E2"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63.84697837</w:t>
            </w:r>
          </w:p>
        </w:tc>
      </w:tr>
      <w:tr w:rsidR="007600CE" w:rsidRPr="007600CE" w14:paraId="061A6E7B" w14:textId="77777777" w:rsidTr="00BA392A">
        <w:trPr>
          <w:trHeight w:val="264"/>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A2CBEED" w14:textId="77777777" w:rsidR="007600CE" w:rsidRPr="007600CE" w:rsidRDefault="007600CE" w:rsidP="00BA392A">
            <w:pPr>
              <w:spacing w:after="0" w:line="240" w:lineRule="auto"/>
              <w:jc w:val="right"/>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10</w:t>
            </w:r>
          </w:p>
        </w:tc>
        <w:tc>
          <w:tcPr>
            <w:tcW w:w="3340" w:type="dxa"/>
            <w:gridSpan w:val="3"/>
            <w:tcBorders>
              <w:top w:val="nil"/>
              <w:left w:val="nil"/>
              <w:bottom w:val="single" w:sz="4" w:space="0" w:color="auto"/>
              <w:right w:val="single" w:sz="4" w:space="0" w:color="auto"/>
            </w:tcBorders>
            <w:shd w:val="clear" w:color="auto" w:fill="auto"/>
            <w:noWrap/>
            <w:vAlign w:val="bottom"/>
            <w:hideMark/>
          </w:tcPr>
          <w:p w14:paraId="61A563A3"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104</w:t>
            </w:r>
          </w:p>
        </w:tc>
        <w:tc>
          <w:tcPr>
            <w:tcW w:w="3260" w:type="dxa"/>
            <w:tcBorders>
              <w:top w:val="nil"/>
              <w:left w:val="nil"/>
              <w:bottom w:val="single" w:sz="4" w:space="0" w:color="auto"/>
              <w:right w:val="single" w:sz="4" w:space="0" w:color="auto"/>
            </w:tcBorders>
            <w:shd w:val="clear" w:color="auto" w:fill="auto"/>
            <w:noWrap/>
            <w:vAlign w:val="bottom"/>
            <w:hideMark/>
          </w:tcPr>
          <w:p w14:paraId="20EC4061"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63.84697837</w:t>
            </w:r>
          </w:p>
        </w:tc>
        <w:tc>
          <w:tcPr>
            <w:tcW w:w="2325" w:type="dxa"/>
            <w:tcBorders>
              <w:top w:val="nil"/>
              <w:left w:val="nil"/>
              <w:bottom w:val="single" w:sz="4" w:space="0" w:color="auto"/>
              <w:right w:val="single" w:sz="4" w:space="0" w:color="auto"/>
            </w:tcBorders>
            <w:shd w:val="clear" w:color="auto" w:fill="auto"/>
            <w:noWrap/>
            <w:vAlign w:val="bottom"/>
            <w:hideMark/>
          </w:tcPr>
          <w:p w14:paraId="226E8CC0" w14:textId="77777777" w:rsidR="007600CE" w:rsidRPr="007600CE" w:rsidRDefault="007600CE" w:rsidP="00BA392A">
            <w:pPr>
              <w:spacing w:after="0" w:line="240" w:lineRule="auto"/>
              <w:jc w:val="center"/>
              <w:rPr>
                <w:rFonts w:ascii="Arial" w:eastAsia="Times New Roman" w:hAnsi="Arial" w:cs="Arial"/>
                <w:kern w:val="0"/>
                <w:sz w:val="20"/>
                <w:szCs w:val="20"/>
                <w:lang w:eastAsia="en-IN"/>
                <w14:ligatures w14:val="none"/>
              </w:rPr>
            </w:pPr>
            <w:r w:rsidRPr="007600CE">
              <w:rPr>
                <w:rFonts w:ascii="Arial" w:eastAsia="Times New Roman" w:hAnsi="Arial" w:cs="Arial"/>
                <w:kern w:val="0"/>
                <w:sz w:val="20"/>
                <w:szCs w:val="20"/>
                <w:lang w:eastAsia="en-IN"/>
                <w14:ligatures w14:val="none"/>
              </w:rPr>
              <w:t>63.84697837</w:t>
            </w:r>
          </w:p>
        </w:tc>
      </w:tr>
      <w:tr w:rsidR="00BA392A" w:rsidRPr="00BA392A" w14:paraId="66C3F6C5" w14:textId="77777777" w:rsidTr="00BA392A">
        <w:trPr>
          <w:gridAfter w:val="3"/>
          <w:wAfter w:w="6705" w:type="dxa"/>
          <w:trHeight w:val="264"/>
        </w:trPr>
        <w:tc>
          <w:tcPr>
            <w:tcW w:w="1740" w:type="dxa"/>
            <w:gridSpan w:val="2"/>
            <w:tcBorders>
              <w:top w:val="nil"/>
              <w:left w:val="nil"/>
              <w:bottom w:val="nil"/>
              <w:right w:val="nil"/>
            </w:tcBorders>
            <w:shd w:val="clear" w:color="auto" w:fill="auto"/>
            <w:noWrap/>
            <w:vAlign w:val="bottom"/>
            <w:hideMark/>
          </w:tcPr>
          <w:p w14:paraId="6E6189D1" w14:textId="77777777" w:rsidR="00BA392A" w:rsidRDefault="00BA392A" w:rsidP="00BA392A">
            <w:pPr>
              <w:spacing w:after="0" w:line="240" w:lineRule="auto"/>
              <w:rPr>
                <w:rFonts w:ascii="Arial" w:eastAsia="Times New Roman" w:hAnsi="Arial" w:cs="Arial"/>
                <w:kern w:val="0"/>
                <w:sz w:val="20"/>
                <w:szCs w:val="20"/>
                <w:lang w:eastAsia="en-IN"/>
                <w14:ligatures w14:val="none"/>
              </w:rPr>
            </w:pPr>
          </w:p>
          <w:p w14:paraId="33898BD8" w14:textId="4129745A"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coupon rate</w:t>
            </w:r>
          </w:p>
        </w:tc>
        <w:tc>
          <w:tcPr>
            <w:tcW w:w="1900" w:type="dxa"/>
            <w:tcBorders>
              <w:top w:val="nil"/>
              <w:left w:val="nil"/>
              <w:bottom w:val="nil"/>
              <w:right w:val="nil"/>
            </w:tcBorders>
            <w:shd w:val="clear" w:color="auto" w:fill="auto"/>
            <w:noWrap/>
            <w:vAlign w:val="bottom"/>
            <w:hideMark/>
          </w:tcPr>
          <w:p w14:paraId="3EC6AC12"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0.04</w:t>
            </w:r>
          </w:p>
        </w:tc>
      </w:tr>
      <w:tr w:rsidR="00BA392A" w:rsidRPr="00BA392A" w14:paraId="6B728DD8" w14:textId="77777777" w:rsidTr="00BA392A">
        <w:trPr>
          <w:gridAfter w:val="3"/>
          <w:wAfter w:w="6705" w:type="dxa"/>
          <w:trHeight w:val="264"/>
        </w:trPr>
        <w:tc>
          <w:tcPr>
            <w:tcW w:w="1740" w:type="dxa"/>
            <w:gridSpan w:val="2"/>
            <w:tcBorders>
              <w:top w:val="nil"/>
              <w:left w:val="nil"/>
              <w:bottom w:val="nil"/>
              <w:right w:val="nil"/>
            </w:tcBorders>
            <w:shd w:val="clear" w:color="auto" w:fill="auto"/>
            <w:noWrap/>
            <w:vAlign w:val="bottom"/>
            <w:hideMark/>
          </w:tcPr>
          <w:p w14:paraId="06DEC14E"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yield</w:t>
            </w:r>
          </w:p>
        </w:tc>
        <w:tc>
          <w:tcPr>
            <w:tcW w:w="1900" w:type="dxa"/>
            <w:tcBorders>
              <w:top w:val="nil"/>
              <w:left w:val="nil"/>
              <w:bottom w:val="nil"/>
              <w:right w:val="nil"/>
            </w:tcBorders>
            <w:shd w:val="clear" w:color="auto" w:fill="auto"/>
            <w:noWrap/>
            <w:vAlign w:val="bottom"/>
            <w:hideMark/>
          </w:tcPr>
          <w:p w14:paraId="2AAA89BB"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0.05</w:t>
            </w:r>
          </w:p>
        </w:tc>
      </w:tr>
      <w:tr w:rsidR="00BA392A" w:rsidRPr="00BA392A" w14:paraId="261F456C" w14:textId="77777777" w:rsidTr="00BA392A">
        <w:trPr>
          <w:gridAfter w:val="3"/>
          <w:wAfter w:w="6705" w:type="dxa"/>
          <w:trHeight w:val="264"/>
        </w:trPr>
        <w:tc>
          <w:tcPr>
            <w:tcW w:w="1740" w:type="dxa"/>
            <w:gridSpan w:val="2"/>
            <w:tcBorders>
              <w:top w:val="nil"/>
              <w:left w:val="nil"/>
              <w:bottom w:val="nil"/>
              <w:right w:val="nil"/>
            </w:tcBorders>
            <w:shd w:val="clear" w:color="auto" w:fill="auto"/>
            <w:noWrap/>
            <w:vAlign w:val="bottom"/>
            <w:hideMark/>
          </w:tcPr>
          <w:p w14:paraId="24B8792D"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Discount Factor</w:t>
            </w:r>
          </w:p>
        </w:tc>
        <w:tc>
          <w:tcPr>
            <w:tcW w:w="1900" w:type="dxa"/>
            <w:tcBorders>
              <w:top w:val="nil"/>
              <w:left w:val="nil"/>
              <w:bottom w:val="nil"/>
              <w:right w:val="nil"/>
            </w:tcBorders>
            <w:shd w:val="clear" w:color="auto" w:fill="auto"/>
            <w:noWrap/>
            <w:vAlign w:val="bottom"/>
            <w:hideMark/>
          </w:tcPr>
          <w:p w14:paraId="540D87CA"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0.951229425</w:t>
            </w:r>
          </w:p>
        </w:tc>
      </w:tr>
      <w:tr w:rsidR="00403C8C" w:rsidRPr="00BA392A" w14:paraId="3AB53C64" w14:textId="77777777" w:rsidTr="00BA392A">
        <w:trPr>
          <w:gridAfter w:val="3"/>
          <w:wAfter w:w="6705" w:type="dxa"/>
          <w:trHeight w:val="264"/>
        </w:trPr>
        <w:tc>
          <w:tcPr>
            <w:tcW w:w="1740" w:type="dxa"/>
            <w:gridSpan w:val="2"/>
            <w:tcBorders>
              <w:top w:val="nil"/>
              <w:left w:val="nil"/>
              <w:bottom w:val="nil"/>
              <w:right w:val="nil"/>
            </w:tcBorders>
            <w:shd w:val="clear" w:color="auto" w:fill="auto"/>
            <w:noWrap/>
            <w:vAlign w:val="bottom"/>
          </w:tcPr>
          <w:p w14:paraId="3FE2596A" w14:textId="77777777" w:rsidR="00403C8C" w:rsidRDefault="00403C8C" w:rsidP="00BA392A">
            <w:pPr>
              <w:spacing w:after="0" w:line="240" w:lineRule="auto"/>
              <w:rPr>
                <w:rFonts w:ascii="Arial" w:eastAsia="Times New Roman" w:hAnsi="Arial" w:cs="Arial"/>
                <w:kern w:val="0"/>
                <w:sz w:val="20"/>
                <w:szCs w:val="20"/>
                <w:lang w:eastAsia="en-IN"/>
                <w14:ligatures w14:val="none"/>
              </w:rPr>
            </w:pPr>
          </w:p>
          <w:p w14:paraId="46F6525F" w14:textId="1722E3EC" w:rsidR="00403C8C" w:rsidRPr="00BA392A" w:rsidRDefault="00403C8C" w:rsidP="00BA392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QUESTION 1 –PART 3</w:t>
            </w:r>
          </w:p>
        </w:tc>
        <w:tc>
          <w:tcPr>
            <w:tcW w:w="1900" w:type="dxa"/>
            <w:tcBorders>
              <w:top w:val="nil"/>
              <w:left w:val="nil"/>
              <w:bottom w:val="nil"/>
              <w:right w:val="nil"/>
            </w:tcBorders>
            <w:shd w:val="clear" w:color="auto" w:fill="auto"/>
            <w:noWrap/>
            <w:vAlign w:val="bottom"/>
          </w:tcPr>
          <w:p w14:paraId="72C2EAC3" w14:textId="77777777" w:rsidR="00403C8C" w:rsidRPr="00BA392A" w:rsidRDefault="00403C8C" w:rsidP="00BA392A">
            <w:pPr>
              <w:spacing w:after="0" w:line="240" w:lineRule="auto"/>
              <w:jc w:val="right"/>
              <w:rPr>
                <w:rFonts w:ascii="Arial" w:eastAsia="Times New Roman" w:hAnsi="Arial" w:cs="Arial"/>
                <w:kern w:val="0"/>
                <w:sz w:val="20"/>
                <w:szCs w:val="20"/>
                <w:lang w:eastAsia="en-IN"/>
                <w14:ligatures w14:val="none"/>
              </w:rPr>
            </w:pPr>
          </w:p>
        </w:tc>
      </w:tr>
      <w:tr w:rsidR="00BA392A" w:rsidRPr="00BA392A" w14:paraId="6DD0B2E5" w14:textId="77777777" w:rsidTr="00BA392A">
        <w:trPr>
          <w:gridAfter w:val="3"/>
          <w:wAfter w:w="6705" w:type="dxa"/>
          <w:trHeight w:val="264"/>
        </w:trPr>
        <w:tc>
          <w:tcPr>
            <w:tcW w:w="1740" w:type="dxa"/>
            <w:gridSpan w:val="2"/>
            <w:tcBorders>
              <w:top w:val="nil"/>
              <w:left w:val="nil"/>
              <w:bottom w:val="nil"/>
              <w:right w:val="nil"/>
            </w:tcBorders>
            <w:shd w:val="clear" w:color="auto" w:fill="auto"/>
            <w:noWrap/>
            <w:vAlign w:val="bottom"/>
          </w:tcPr>
          <w:p w14:paraId="31905162"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p>
        </w:tc>
        <w:tc>
          <w:tcPr>
            <w:tcW w:w="1900" w:type="dxa"/>
            <w:tcBorders>
              <w:top w:val="nil"/>
              <w:left w:val="nil"/>
              <w:bottom w:val="nil"/>
              <w:right w:val="nil"/>
            </w:tcBorders>
            <w:shd w:val="clear" w:color="auto" w:fill="auto"/>
            <w:noWrap/>
            <w:vAlign w:val="bottom"/>
          </w:tcPr>
          <w:p w14:paraId="088EEAC1"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p>
        </w:tc>
      </w:tr>
    </w:tbl>
    <w:p w14:paraId="2F000492" w14:textId="404F9E97" w:rsidR="007600CE" w:rsidRDefault="00BA392A" w:rsidP="00BA392A">
      <w:pPr>
        <w:tabs>
          <w:tab w:val="num" w:pos="720"/>
        </w:tabs>
        <w:spacing w:before="100" w:beforeAutospacing="1" w:after="100" w:afterAutospacing="1" w:line="240" w:lineRule="auto"/>
      </w:pPr>
      <w:r>
        <w:t>QUESTION 1</w:t>
      </w:r>
    </w:p>
    <w:p w14:paraId="558FF6AA" w14:textId="77777777" w:rsidR="00403C8C" w:rsidRDefault="00403C8C" w:rsidP="00BA392A">
      <w:pPr>
        <w:tabs>
          <w:tab w:val="num" w:pos="720"/>
        </w:tabs>
        <w:spacing w:before="100" w:beforeAutospacing="1" w:after="100" w:afterAutospacing="1" w:line="240" w:lineRule="auto"/>
      </w:pPr>
    </w:p>
    <w:p w14:paraId="3BC5BA90" w14:textId="1453599C" w:rsidR="00E07901" w:rsidRDefault="007600CE" w:rsidP="00E07901">
      <w:pPr>
        <w:tabs>
          <w:tab w:val="num" w:pos="720"/>
        </w:tabs>
        <w:spacing w:before="100" w:beforeAutospacing="1" w:after="100" w:afterAutospacing="1" w:line="240" w:lineRule="auto"/>
        <w:ind w:left="720" w:hanging="360"/>
      </w:pPr>
      <w:r>
        <w:rPr>
          <w:noProof/>
        </w:rPr>
        <w:drawing>
          <wp:inline distT="0" distB="0" distL="0" distR="0" wp14:anchorId="716DBEAE" wp14:editId="1A392029">
            <wp:extent cx="4899660" cy="2796540"/>
            <wp:effectExtent l="0" t="0" r="15240" b="3810"/>
            <wp:docPr id="520558018" name="Chart 1">
              <a:extLst xmlns:a="http://schemas.openxmlformats.org/drawingml/2006/main">
                <a:ext uri="{FF2B5EF4-FFF2-40B4-BE49-F238E27FC236}">
                  <a16:creationId xmlns:a16="http://schemas.microsoft.com/office/drawing/2014/main" id="{934E1726-B023-C23C-6126-75B158D3C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EB8BE1" w14:textId="77777777" w:rsidR="007600CE" w:rsidRDefault="007600CE"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91C1A7" w14:textId="355FF1D2" w:rsidR="007600CE" w:rsidRPr="007600CE" w:rsidRDefault="007600CE" w:rsidP="007600CE">
      <w:pPr>
        <w:tabs>
          <w:tab w:val="num" w:pos="720"/>
        </w:tabs>
        <w:spacing w:before="100" w:beforeAutospacing="1" w:after="100" w:afterAutospacing="1" w:line="240" w:lineRule="auto"/>
        <w:ind w:left="720" w:hanging="360"/>
      </w:pPr>
      <w:r w:rsidRPr="007600CE">
        <w:t>QUESTION 1 – PART 4</w:t>
      </w:r>
    </w:p>
    <w:p w14:paraId="16D0123F" w14:textId="77777777" w:rsidR="007600CE" w:rsidRDefault="007600CE"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76BB2" w14:textId="108A7AB6" w:rsidR="007600CE" w:rsidRDefault="007600CE" w:rsidP="00BA392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600CE">
        <w:rPr>
          <w:rFonts w:ascii="Times New Roman" w:eastAsia="Times New Roman" w:hAnsi="Times New Roman" w:cs="Times New Roman"/>
          <w:kern w:val="0"/>
          <w:sz w:val="24"/>
          <w:szCs w:val="24"/>
          <w:lang w:eastAsia="en-IN"/>
          <w14:ligatures w14:val="none"/>
        </w:rPr>
        <w:t xml:space="preserve">If </w:t>
      </w:r>
      <w:proofErr w:type="gramStart"/>
      <w:r w:rsidRPr="007600CE">
        <w:rPr>
          <w:rFonts w:ascii="Times New Roman" w:eastAsia="Times New Roman" w:hAnsi="Times New Roman" w:cs="Times New Roman"/>
          <w:kern w:val="0"/>
          <w:sz w:val="24"/>
          <w:szCs w:val="24"/>
          <w:lang w:eastAsia="en-IN"/>
          <w14:ligatures w14:val="none"/>
        </w:rPr>
        <w:t>there's</w:t>
      </w:r>
      <w:proofErr w:type="gramEnd"/>
      <w:r w:rsidRPr="007600CE">
        <w:rPr>
          <w:rFonts w:ascii="Times New Roman" w:eastAsia="Times New Roman" w:hAnsi="Times New Roman" w:cs="Times New Roman"/>
          <w:kern w:val="0"/>
          <w:sz w:val="24"/>
          <w:szCs w:val="24"/>
          <w:lang w:eastAsia="en-IN"/>
          <w14:ligatures w14:val="none"/>
        </w:rPr>
        <w:t xml:space="preserve"> a positive chance of not receiving the cash flows (i.e., default risk), the bond's price would be impacted negatively. Investors would demand a higher yield to compensate for the risk of not receiving some or </w:t>
      </w:r>
      <w:proofErr w:type="gramStart"/>
      <w:r w:rsidRPr="007600CE">
        <w:rPr>
          <w:rFonts w:ascii="Times New Roman" w:eastAsia="Times New Roman" w:hAnsi="Times New Roman" w:cs="Times New Roman"/>
          <w:kern w:val="0"/>
          <w:sz w:val="24"/>
          <w:szCs w:val="24"/>
          <w:lang w:eastAsia="en-IN"/>
          <w14:ligatures w14:val="none"/>
        </w:rPr>
        <w:t>all of</w:t>
      </w:r>
      <w:proofErr w:type="gramEnd"/>
      <w:r w:rsidRPr="007600CE">
        <w:rPr>
          <w:rFonts w:ascii="Times New Roman" w:eastAsia="Times New Roman" w:hAnsi="Times New Roman" w:cs="Times New Roman"/>
          <w:kern w:val="0"/>
          <w:sz w:val="24"/>
          <w:szCs w:val="24"/>
          <w:lang w:eastAsia="en-IN"/>
          <w14:ligatures w14:val="none"/>
        </w:rPr>
        <w:t xml:space="preserve"> the promised cash flows. Consequently, the bond's yield curve would likely shift upwards, leading to a decrease in </w:t>
      </w:r>
      <w:r w:rsidRPr="007600CE">
        <w:rPr>
          <w:rFonts w:ascii="Times New Roman" w:eastAsia="Times New Roman" w:hAnsi="Times New Roman" w:cs="Times New Roman"/>
          <w:kern w:val="0"/>
          <w:sz w:val="24"/>
          <w:szCs w:val="24"/>
          <w:lang w:eastAsia="en-IN"/>
          <w14:ligatures w14:val="none"/>
        </w:rPr>
        <w:lastRenderedPageBreak/>
        <w:t>bond prices across various maturities. This shift would reflect the increased required return to compensate for the additional risk. Essentially, bonds with higher default risk would trade at lower prices relative to bonds with similar characteristics but lower default risk.</w:t>
      </w:r>
    </w:p>
    <w:p w14:paraId="4197502B" w14:textId="77777777" w:rsidR="00403C8C" w:rsidRDefault="00403C8C" w:rsidP="00BA392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tbl>
      <w:tblPr>
        <w:tblW w:w="3640" w:type="dxa"/>
        <w:tblLook w:val="04A0" w:firstRow="1" w:lastRow="0" w:firstColumn="1" w:lastColumn="0" w:noHBand="0" w:noVBand="1"/>
      </w:tblPr>
      <w:tblGrid>
        <w:gridCol w:w="1740"/>
        <w:gridCol w:w="1900"/>
      </w:tblGrid>
      <w:tr w:rsidR="00403C8C" w:rsidRPr="00403C8C" w14:paraId="1D77EA74" w14:textId="77777777" w:rsidTr="00403C8C">
        <w:trPr>
          <w:trHeight w:val="264"/>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753CA" w14:textId="77777777" w:rsidR="00403C8C" w:rsidRPr="00403C8C" w:rsidRDefault="00403C8C" w:rsidP="00403C8C">
            <w:pPr>
              <w:spacing w:after="0" w:line="240" w:lineRule="auto"/>
              <w:jc w:val="center"/>
              <w:rPr>
                <w:rFonts w:ascii="Arial" w:eastAsia="Times New Roman" w:hAnsi="Arial" w:cs="Arial"/>
                <w:b/>
                <w:bCs/>
                <w:kern w:val="0"/>
                <w:sz w:val="20"/>
                <w:szCs w:val="20"/>
                <w:lang w:eastAsia="en-IN"/>
                <w14:ligatures w14:val="none"/>
              </w:rPr>
            </w:pPr>
            <w:r w:rsidRPr="00403C8C">
              <w:rPr>
                <w:rFonts w:ascii="Arial" w:eastAsia="Times New Roman" w:hAnsi="Arial" w:cs="Arial"/>
                <w:b/>
                <w:bCs/>
                <w:kern w:val="0"/>
                <w:sz w:val="20"/>
                <w:szCs w:val="20"/>
                <w:lang w:eastAsia="en-IN"/>
                <w14:ligatures w14:val="none"/>
              </w:rPr>
              <w:t>Questions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E8633A4" w14:textId="77777777" w:rsidR="00403C8C" w:rsidRPr="00403C8C" w:rsidRDefault="00403C8C" w:rsidP="00403C8C">
            <w:pPr>
              <w:spacing w:after="0" w:line="240" w:lineRule="auto"/>
              <w:jc w:val="center"/>
              <w:rPr>
                <w:rFonts w:ascii="Arial" w:eastAsia="Times New Roman" w:hAnsi="Arial" w:cs="Arial"/>
                <w:b/>
                <w:bCs/>
                <w:kern w:val="0"/>
                <w:sz w:val="20"/>
                <w:szCs w:val="20"/>
                <w:lang w:eastAsia="en-IN"/>
                <w14:ligatures w14:val="none"/>
              </w:rPr>
            </w:pPr>
            <w:r w:rsidRPr="00403C8C">
              <w:rPr>
                <w:rFonts w:ascii="Arial" w:eastAsia="Times New Roman" w:hAnsi="Arial" w:cs="Arial"/>
                <w:b/>
                <w:bCs/>
                <w:kern w:val="0"/>
                <w:sz w:val="20"/>
                <w:szCs w:val="20"/>
                <w:lang w:eastAsia="en-IN"/>
                <w14:ligatures w14:val="none"/>
              </w:rPr>
              <w:t>Answer</w:t>
            </w:r>
          </w:p>
        </w:tc>
      </w:tr>
      <w:tr w:rsidR="00403C8C" w:rsidRPr="00403C8C" w14:paraId="6203EEB8" w14:textId="77777777" w:rsidTr="00403C8C">
        <w:trPr>
          <w:trHeight w:val="264"/>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C6A2FBF" w14:textId="77777777" w:rsidR="00403C8C" w:rsidRPr="00403C8C" w:rsidRDefault="00403C8C" w:rsidP="00403C8C">
            <w:pPr>
              <w:spacing w:after="0" w:line="240" w:lineRule="auto"/>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1. Bond Price at 0</w:t>
            </w:r>
          </w:p>
        </w:tc>
        <w:tc>
          <w:tcPr>
            <w:tcW w:w="1900" w:type="dxa"/>
            <w:tcBorders>
              <w:top w:val="nil"/>
              <w:left w:val="nil"/>
              <w:bottom w:val="single" w:sz="4" w:space="0" w:color="auto"/>
              <w:right w:val="single" w:sz="4" w:space="0" w:color="auto"/>
            </w:tcBorders>
            <w:shd w:val="clear" w:color="FFFF00" w:fill="FFF200"/>
            <w:noWrap/>
            <w:vAlign w:val="bottom"/>
            <w:hideMark/>
          </w:tcPr>
          <w:p w14:paraId="30B6706E" w14:textId="77777777" w:rsidR="00403C8C" w:rsidRPr="00403C8C" w:rsidRDefault="00403C8C" w:rsidP="00403C8C">
            <w:pPr>
              <w:spacing w:after="0" w:line="240" w:lineRule="auto"/>
              <w:jc w:val="right"/>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92.27826507</w:t>
            </w:r>
          </w:p>
        </w:tc>
      </w:tr>
      <w:tr w:rsidR="00403C8C" w:rsidRPr="00403C8C" w14:paraId="50F00227" w14:textId="77777777" w:rsidTr="00403C8C">
        <w:trPr>
          <w:trHeight w:val="264"/>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EA02FA" w14:textId="77777777" w:rsidR="00403C8C" w:rsidRPr="00403C8C" w:rsidRDefault="00403C8C" w:rsidP="00403C8C">
            <w:pPr>
              <w:spacing w:after="0" w:line="240" w:lineRule="auto"/>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2. Bond Price at 5</w:t>
            </w:r>
          </w:p>
        </w:tc>
        <w:tc>
          <w:tcPr>
            <w:tcW w:w="1900" w:type="dxa"/>
            <w:tcBorders>
              <w:top w:val="nil"/>
              <w:left w:val="nil"/>
              <w:bottom w:val="single" w:sz="4" w:space="0" w:color="auto"/>
              <w:right w:val="single" w:sz="4" w:space="0" w:color="auto"/>
            </w:tcBorders>
            <w:shd w:val="clear" w:color="FFFF00" w:fill="FFF200"/>
            <w:noWrap/>
            <w:vAlign w:val="bottom"/>
            <w:hideMark/>
          </w:tcPr>
          <w:p w14:paraId="6B810D81" w14:textId="77777777" w:rsidR="00403C8C" w:rsidRPr="00403C8C" w:rsidRDefault="00403C8C" w:rsidP="00403C8C">
            <w:pPr>
              <w:spacing w:after="0" w:line="240" w:lineRule="auto"/>
              <w:jc w:val="right"/>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74.96035839</w:t>
            </w:r>
          </w:p>
        </w:tc>
      </w:tr>
      <w:tr w:rsidR="00403C8C" w:rsidRPr="00403C8C" w14:paraId="4D77F9B1" w14:textId="77777777" w:rsidTr="00403C8C">
        <w:trPr>
          <w:trHeight w:val="264"/>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28F686A" w14:textId="77777777" w:rsidR="00403C8C" w:rsidRPr="00403C8C" w:rsidRDefault="00403C8C" w:rsidP="00403C8C">
            <w:pPr>
              <w:spacing w:after="0" w:line="240" w:lineRule="auto"/>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3. Plot</w:t>
            </w:r>
          </w:p>
        </w:tc>
        <w:tc>
          <w:tcPr>
            <w:tcW w:w="1900" w:type="dxa"/>
            <w:tcBorders>
              <w:top w:val="nil"/>
              <w:left w:val="nil"/>
              <w:bottom w:val="single" w:sz="4" w:space="0" w:color="auto"/>
              <w:right w:val="single" w:sz="4" w:space="0" w:color="auto"/>
            </w:tcBorders>
            <w:shd w:val="clear" w:color="FFFF00" w:fill="FFF200"/>
            <w:noWrap/>
            <w:vAlign w:val="bottom"/>
            <w:hideMark/>
          </w:tcPr>
          <w:p w14:paraId="72A5609A" w14:textId="77777777" w:rsidR="00403C8C" w:rsidRPr="00403C8C" w:rsidRDefault="00403C8C" w:rsidP="00403C8C">
            <w:pPr>
              <w:spacing w:after="0" w:line="240" w:lineRule="auto"/>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attach to form</w:t>
            </w:r>
          </w:p>
        </w:tc>
      </w:tr>
      <w:tr w:rsidR="00403C8C" w:rsidRPr="00403C8C" w14:paraId="75EA493C" w14:textId="77777777" w:rsidTr="00403C8C">
        <w:trPr>
          <w:trHeight w:val="264"/>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EB2DDFC" w14:textId="77777777" w:rsidR="00403C8C" w:rsidRPr="00403C8C" w:rsidRDefault="00403C8C" w:rsidP="00403C8C">
            <w:pPr>
              <w:spacing w:after="0" w:line="240" w:lineRule="auto"/>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4. Discussion</w:t>
            </w:r>
          </w:p>
        </w:tc>
        <w:tc>
          <w:tcPr>
            <w:tcW w:w="1900" w:type="dxa"/>
            <w:tcBorders>
              <w:top w:val="nil"/>
              <w:left w:val="nil"/>
              <w:bottom w:val="single" w:sz="4" w:space="0" w:color="auto"/>
              <w:right w:val="single" w:sz="4" w:space="0" w:color="auto"/>
            </w:tcBorders>
            <w:shd w:val="clear" w:color="FFFF00" w:fill="FFF200"/>
            <w:noWrap/>
            <w:vAlign w:val="bottom"/>
            <w:hideMark/>
          </w:tcPr>
          <w:p w14:paraId="7EFAC87C" w14:textId="77777777" w:rsidR="00403C8C" w:rsidRPr="00403C8C" w:rsidRDefault="00403C8C" w:rsidP="00403C8C">
            <w:pPr>
              <w:spacing w:after="0" w:line="240" w:lineRule="auto"/>
              <w:rPr>
                <w:rFonts w:ascii="Arial" w:eastAsia="Times New Roman" w:hAnsi="Arial" w:cs="Arial"/>
                <w:kern w:val="0"/>
                <w:sz w:val="20"/>
                <w:szCs w:val="20"/>
                <w:lang w:eastAsia="en-IN"/>
                <w14:ligatures w14:val="none"/>
              </w:rPr>
            </w:pPr>
            <w:r w:rsidRPr="00403C8C">
              <w:rPr>
                <w:rFonts w:ascii="Arial" w:eastAsia="Times New Roman" w:hAnsi="Arial" w:cs="Arial"/>
                <w:kern w:val="0"/>
                <w:sz w:val="20"/>
                <w:szCs w:val="20"/>
                <w:lang w:eastAsia="en-IN"/>
                <w14:ligatures w14:val="none"/>
              </w:rPr>
              <w:t>post on form</w:t>
            </w:r>
          </w:p>
        </w:tc>
      </w:tr>
    </w:tbl>
    <w:p w14:paraId="35DE1B7F" w14:textId="77777777" w:rsidR="00403C8C" w:rsidRDefault="00403C8C" w:rsidP="00BA392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E324F9A" w14:textId="09B29DAB" w:rsidR="00E07901" w:rsidRDefault="00E07901"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Question 2 - Part 3</w:t>
      </w:r>
    </w:p>
    <w:p w14:paraId="7CEB9B00" w14:textId="2B92EA46" w:rsidR="00E07901" w:rsidRPr="00E07901" w:rsidRDefault="00E07901" w:rsidP="00E079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Stock price (S) = $400</w:t>
      </w:r>
    </w:p>
    <w:p w14:paraId="75A63ECA" w14:textId="77777777" w:rsidR="00E07901" w:rsidRPr="00E07901" w:rsidRDefault="00E07901" w:rsidP="00E079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Strike price (K) = $450</w:t>
      </w:r>
    </w:p>
    <w:p w14:paraId="05C3CBE4" w14:textId="77777777" w:rsidR="00E07901" w:rsidRPr="00E07901" w:rsidRDefault="00E07901" w:rsidP="00E079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Risk-free interest rate (r) = 5% (as a decimal, r = 0.05)</w:t>
      </w:r>
    </w:p>
    <w:p w14:paraId="43718AB9" w14:textId="77777777" w:rsidR="00E07901" w:rsidRPr="00E07901" w:rsidRDefault="00E07901" w:rsidP="00E079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Volatility (σ) = 0.134</w:t>
      </w:r>
    </w:p>
    <w:p w14:paraId="75E3AB14" w14:textId="77777777" w:rsidR="00E07901" w:rsidRPr="00E07901" w:rsidRDefault="00E07901" w:rsidP="00E079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Time to expiration (T) = 9 months (we need to convert this to years)</w:t>
      </w:r>
    </w:p>
    <w:p w14:paraId="3A27103B" w14:textId="77777777" w:rsidR="00E07901" w:rsidRPr="00E07901" w:rsidRDefault="00E07901"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Since the Black-Scholes model works with annualized volatility and time, we need to convert the 9-month expiry to years:</w:t>
      </w:r>
    </w:p>
    <w:p w14:paraId="07A68BEB" w14:textId="77777777" w:rsidR="00E07901" w:rsidRDefault="00E07901"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T = 9 months / 12 months/year = 0.75 years</w:t>
      </w:r>
    </w:p>
    <w:p w14:paraId="08AAEA39" w14:textId="0EF1308E" w:rsidR="00E07901" w:rsidRPr="00E07901" w:rsidRDefault="00E07901"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Black-Scholes formula for a European call </w:t>
      </w:r>
      <w:proofErr w:type="gramStart"/>
      <w:r>
        <w:t>option :</w:t>
      </w:r>
      <w:proofErr w:type="gramEnd"/>
    </w:p>
    <w:p w14:paraId="7877960A" w14:textId="7B67D8EA" w:rsidR="00BA14F9" w:rsidRDefault="00E07901">
      <w:r w:rsidRPr="00E07901">
        <w:rPr>
          <w:highlight w:val="green"/>
        </w:rPr>
        <w:t>C = N(d1) * S - N(d2) * Ke^(-</w:t>
      </w:r>
      <w:proofErr w:type="spellStart"/>
      <w:r w:rsidRPr="00E07901">
        <w:rPr>
          <w:highlight w:val="green"/>
        </w:rPr>
        <w:t>rT</w:t>
      </w:r>
      <w:proofErr w:type="spellEnd"/>
      <w:r w:rsidRPr="00E07901">
        <w:rPr>
          <w:highlight w:val="green"/>
        </w:rPr>
        <w:t>)</w:t>
      </w:r>
    </w:p>
    <w:p w14:paraId="5949D467" w14:textId="77777777" w:rsidR="00E07901" w:rsidRPr="00E07901" w:rsidRDefault="00E07901" w:rsidP="00E079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where:</w:t>
      </w:r>
    </w:p>
    <w:p w14:paraId="00664F5C" w14:textId="77777777" w:rsidR="00E07901" w:rsidRPr="00E07901" w:rsidRDefault="00E07901" w:rsidP="00E079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C is the call option price</w:t>
      </w:r>
    </w:p>
    <w:p w14:paraId="6FFF2B06" w14:textId="77777777" w:rsidR="00E07901" w:rsidRPr="00E07901" w:rsidRDefault="00E07901" w:rsidP="00E079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N(d1) and N(d2) are cumulative distribution functions of the standard normal distribution</w:t>
      </w:r>
    </w:p>
    <w:p w14:paraId="2B2284A3" w14:textId="77777777" w:rsidR="00E07901" w:rsidRPr="00E07901" w:rsidRDefault="00E07901" w:rsidP="00E079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7901">
        <w:rPr>
          <w:rFonts w:ascii="Times New Roman" w:eastAsia="Times New Roman" w:hAnsi="Times New Roman" w:cs="Times New Roman"/>
          <w:kern w:val="0"/>
          <w:sz w:val="24"/>
          <w:szCs w:val="24"/>
          <w:lang w:eastAsia="en-IN"/>
          <w14:ligatures w14:val="none"/>
        </w:rPr>
        <w:t>d1 and d2 are calculated using the other input parameters</w:t>
      </w:r>
    </w:p>
    <w:p w14:paraId="1BFF876E" w14:textId="279FC4B8" w:rsidR="00E07901" w:rsidRDefault="00BE5C3C">
      <w:r>
        <w:t>d1 = (ln(S/K) + (r + σ^2/2) * T) / (σ * sqrt(T))</w:t>
      </w:r>
    </w:p>
    <w:p w14:paraId="42A40CC9" w14:textId="6CD92BAD" w:rsidR="00BE5C3C" w:rsidRDefault="00BE5C3C">
      <w:r>
        <w:t>d1 = (</w:t>
      </w:r>
      <w:proofErr w:type="gramStart"/>
      <w:r>
        <w:t>ln(</w:t>
      </w:r>
      <w:proofErr w:type="gramEnd"/>
      <w:r>
        <w:t>400/450) + (0.05 + 0.134^2/2) * 0.75) / (0.134 * sqrt(0.75))</w:t>
      </w:r>
    </w:p>
    <w:p w14:paraId="1DFEF35A" w14:textId="3456F0BB" w:rsidR="00BE5C3C" w:rsidRDefault="00BE5C3C">
      <w:r>
        <w:t>d1 = -0.628</w:t>
      </w:r>
    </w:p>
    <w:p w14:paraId="5E17B890" w14:textId="4F0F492E" w:rsidR="00BE5C3C" w:rsidRDefault="00BE5C3C">
      <w:r>
        <w:t>d2 = d1 – σ*</w:t>
      </w:r>
      <w:proofErr w:type="gramStart"/>
      <w:r>
        <w:t>sqrt(</w:t>
      </w:r>
      <w:proofErr w:type="gramEnd"/>
      <w:r>
        <w:t>0.75)</w:t>
      </w:r>
    </w:p>
    <w:p w14:paraId="34B76F41" w14:textId="2BB3007E" w:rsidR="00BE5C3C" w:rsidRDefault="00BE5C3C">
      <w:r>
        <w:t>d2 = -0.745</w:t>
      </w:r>
    </w:p>
    <w:p w14:paraId="20885843" w14:textId="56365945" w:rsidR="00BE5C3C" w:rsidRDefault="00050C27">
      <w:r>
        <w:t xml:space="preserve">N(d1) = </w:t>
      </w:r>
      <w:proofErr w:type="gramStart"/>
      <w:r>
        <w:rPr>
          <w:rStyle w:val="hljs-builtin"/>
        </w:rPr>
        <w:t>NORMDIST</w:t>
      </w:r>
      <w:r>
        <w:t>(</w:t>
      </w:r>
      <w:proofErr w:type="gramEnd"/>
      <w:r>
        <w:t xml:space="preserve">d1, mean, </w:t>
      </w:r>
      <w:proofErr w:type="spellStart"/>
      <w:r>
        <w:t>standard_dev</w:t>
      </w:r>
      <w:proofErr w:type="spellEnd"/>
      <w:r>
        <w:t>, cumulative)</w:t>
      </w:r>
    </w:p>
    <w:p w14:paraId="26F298E0" w14:textId="525A07B5" w:rsidR="00050C27" w:rsidRDefault="00050C27" w:rsidP="00050C27">
      <w:r>
        <w:lastRenderedPageBreak/>
        <w:t xml:space="preserve">N(d2) = </w:t>
      </w:r>
      <w:proofErr w:type="gramStart"/>
      <w:r>
        <w:rPr>
          <w:rStyle w:val="hljs-builtin"/>
        </w:rPr>
        <w:t>NORMDIST</w:t>
      </w:r>
      <w:r>
        <w:t>(</w:t>
      </w:r>
      <w:proofErr w:type="gramEnd"/>
      <w:r>
        <w:t xml:space="preserve">d2, mean, </w:t>
      </w:r>
      <w:proofErr w:type="spellStart"/>
      <w:r>
        <w:t>standard_dev</w:t>
      </w:r>
      <w:proofErr w:type="spellEnd"/>
      <w:r>
        <w:t>, cumulative)</w:t>
      </w:r>
    </w:p>
    <w:p w14:paraId="417C4140" w14:textId="75D60D0C" w:rsidR="00050C27" w:rsidRDefault="00050C27" w:rsidP="00050C27">
      <w:proofErr w:type="gramStart"/>
      <w:r>
        <w:t>Where</w:t>
      </w:r>
      <w:proofErr w:type="gramEnd"/>
      <w:r>
        <w:t>,</w:t>
      </w:r>
    </w:p>
    <w:p w14:paraId="61039C07" w14:textId="2466E064" w:rsidR="00050C27" w:rsidRDefault="00050C27" w:rsidP="00050C27">
      <w:pPr>
        <w:pStyle w:val="ListParagraph"/>
        <w:numPr>
          <w:ilvl w:val="0"/>
          <w:numId w:val="3"/>
        </w:numPr>
      </w:pPr>
      <w:r>
        <w:t>Mean = 0</w:t>
      </w:r>
    </w:p>
    <w:p w14:paraId="3BF1FA20" w14:textId="62262B73" w:rsidR="00050C27" w:rsidRDefault="00050C27" w:rsidP="00050C27">
      <w:pPr>
        <w:pStyle w:val="ListParagraph"/>
        <w:numPr>
          <w:ilvl w:val="0"/>
          <w:numId w:val="3"/>
        </w:numPr>
      </w:pPr>
      <w:r>
        <w:t>Std deviation = 1</w:t>
      </w:r>
    </w:p>
    <w:p w14:paraId="4150E744" w14:textId="65A6EC4A" w:rsidR="00050C27" w:rsidRDefault="00050C27" w:rsidP="00050C27">
      <w:pPr>
        <w:pStyle w:val="ListParagraph"/>
        <w:numPr>
          <w:ilvl w:val="0"/>
          <w:numId w:val="3"/>
        </w:numPr>
      </w:pPr>
      <w:r>
        <w:t>Cumulative = TRUE</w:t>
      </w:r>
    </w:p>
    <w:p w14:paraId="2588D00C" w14:textId="496B002D" w:rsidR="00050C27" w:rsidRDefault="00050C27" w:rsidP="00050C27">
      <w:r w:rsidRPr="00050C27">
        <w:rPr>
          <w:highlight w:val="green"/>
        </w:rPr>
        <w:t>C = 7.104</w:t>
      </w:r>
    </w:p>
    <w:p w14:paraId="7D3FFDD2" w14:textId="77777777" w:rsidR="007600CE" w:rsidRDefault="007600CE" w:rsidP="00050C27"/>
    <w:p w14:paraId="6E1949A7" w14:textId="77777777" w:rsidR="007600CE" w:rsidRDefault="007600CE" w:rsidP="00050C27"/>
    <w:p w14:paraId="315113CC" w14:textId="670BFB5E" w:rsidR="007600CE" w:rsidRDefault="00403C8C" w:rsidP="00050C27">
      <w:r>
        <w:t>QUESTION 2</w:t>
      </w:r>
    </w:p>
    <w:tbl>
      <w:tblPr>
        <w:tblW w:w="4460" w:type="dxa"/>
        <w:tblInd w:w="118" w:type="dxa"/>
        <w:tblLook w:val="04A0" w:firstRow="1" w:lastRow="0" w:firstColumn="1" w:lastColumn="0" w:noHBand="0" w:noVBand="1"/>
      </w:tblPr>
      <w:tblGrid>
        <w:gridCol w:w="3111"/>
        <w:gridCol w:w="222"/>
        <w:gridCol w:w="1384"/>
      </w:tblGrid>
      <w:tr w:rsidR="00BA392A" w:rsidRPr="00BA392A" w14:paraId="4293096B" w14:textId="77777777" w:rsidTr="00BA392A">
        <w:trPr>
          <w:trHeight w:val="264"/>
        </w:trPr>
        <w:tc>
          <w:tcPr>
            <w:tcW w:w="3160" w:type="dxa"/>
            <w:gridSpan w:val="2"/>
            <w:tcBorders>
              <w:top w:val="single" w:sz="8" w:space="0" w:color="auto"/>
              <w:left w:val="single" w:sz="8" w:space="0" w:color="auto"/>
              <w:bottom w:val="nil"/>
              <w:right w:val="nil"/>
            </w:tcBorders>
            <w:shd w:val="clear" w:color="000000" w:fill="00B0F0"/>
            <w:noWrap/>
            <w:vAlign w:val="bottom"/>
            <w:hideMark/>
          </w:tcPr>
          <w:p w14:paraId="04AF5712" w14:textId="77777777" w:rsidR="00BA392A" w:rsidRPr="00BA392A" w:rsidRDefault="00BA392A" w:rsidP="00BA392A">
            <w:pPr>
              <w:spacing w:after="0" w:line="240" w:lineRule="auto"/>
              <w:jc w:val="center"/>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Question #</w:t>
            </w:r>
          </w:p>
        </w:tc>
        <w:tc>
          <w:tcPr>
            <w:tcW w:w="1300" w:type="dxa"/>
            <w:tcBorders>
              <w:top w:val="single" w:sz="8" w:space="0" w:color="auto"/>
              <w:left w:val="nil"/>
              <w:bottom w:val="nil"/>
              <w:right w:val="nil"/>
            </w:tcBorders>
            <w:shd w:val="clear" w:color="000000" w:fill="00B0F0"/>
            <w:noWrap/>
            <w:vAlign w:val="bottom"/>
            <w:hideMark/>
          </w:tcPr>
          <w:p w14:paraId="55AC0044"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Answer</w:t>
            </w:r>
          </w:p>
        </w:tc>
      </w:tr>
      <w:tr w:rsidR="00BA392A" w:rsidRPr="00BA392A" w14:paraId="06615547" w14:textId="77777777" w:rsidTr="00BA392A">
        <w:trPr>
          <w:trHeight w:val="528"/>
        </w:trPr>
        <w:tc>
          <w:tcPr>
            <w:tcW w:w="3160" w:type="dxa"/>
            <w:gridSpan w:val="2"/>
            <w:tcBorders>
              <w:top w:val="nil"/>
              <w:left w:val="single" w:sz="8" w:space="0" w:color="auto"/>
              <w:bottom w:val="nil"/>
              <w:right w:val="nil"/>
            </w:tcBorders>
            <w:shd w:val="clear" w:color="auto" w:fill="auto"/>
            <w:vAlign w:val="bottom"/>
            <w:hideMark/>
          </w:tcPr>
          <w:p w14:paraId="1DDD2A1C"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1. Annual Volatility</w:t>
            </w:r>
          </w:p>
        </w:tc>
        <w:tc>
          <w:tcPr>
            <w:tcW w:w="1300" w:type="dxa"/>
            <w:tcBorders>
              <w:top w:val="nil"/>
              <w:left w:val="nil"/>
              <w:bottom w:val="nil"/>
              <w:right w:val="nil"/>
            </w:tcBorders>
            <w:shd w:val="clear" w:color="auto" w:fill="auto"/>
            <w:noWrap/>
            <w:vAlign w:val="bottom"/>
            <w:hideMark/>
          </w:tcPr>
          <w:p w14:paraId="48A53EA7"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0.134982329</w:t>
            </w:r>
          </w:p>
        </w:tc>
      </w:tr>
      <w:tr w:rsidR="00BA392A" w:rsidRPr="00BA392A" w14:paraId="2CBFBD81" w14:textId="77777777" w:rsidTr="00BA392A">
        <w:trPr>
          <w:trHeight w:val="264"/>
        </w:trPr>
        <w:tc>
          <w:tcPr>
            <w:tcW w:w="3160" w:type="dxa"/>
            <w:gridSpan w:val="2"/>
            <w:tcBorders>
              <w:top w:val="nil"/>
              <w:left w:val="single" w:sz="8" w:space="0" w:color="auto"/>
              <w:bottom w:val="nil"/>
              <w:right w:val="nil"/>
            </w:tcBorders>
            <w:shd w:val="clear" w:color="auto" w:fill="auto"/>
            <w:vAlign w:val="bottom"/>
            <w:hideMark/>
          </w:tcPr>
          <w:p w14:paraId="5F1138A4"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2. Annual Mean Return</w:t>
            </w:r>
          </w:p>
        </w:tc>
        <w:tc>
          <w:tcPr>
            <w:tcW w:w="1300" w:type="dxa"/>
            <w:tcBorders>
              <w:top w:val="nil"/>
              <w:left w:val="nil"/>
              <w:bottom w:val="nil"/>
              <w:right w:val="nil"/>
            </w:tcBorders>
            <w:shd w:val="clear" w:color="auto" w:fill="auto"/>
            <w:noWrap/>
            <w:vAlign w:val="bottom"/>
            <w:hideMark/>
          </w:tcPr>
          <w:p w14:paraId="32B6E018"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0.054308552</w:t>
            </w:r>
          </w:p>
        </w:tc>
      </w:tr>
      <w:tr w:rsidR="00BA392A" w:rsidRPr="00BA392A" w14:paraId="117A57D6" w14:textId="77777777" w:rsidTr="00BA392A">
        <w:trPr>
          <w:trHeight w:val="264"/>
        </w:trPr>
        <w:tc>
          <w:tcPr>
            <w:tcW w:w="3111" w:type="dxa"/>
            <w:tcBorders>
              <w:top w:val="nil"/>
              <w:left w:val="single" w:sz="8" w:space="0" w:color="auto"/>
              <w:bottom w:val="nil"/>
              <w:right w:val="nil"/>
            </w:tcBorders>
            <w:shd w:val="clear" w:color="auto" w:fill="auto"/>
            <w:noWrap/>
            <w:vAlign w:val="bottom"/>
            <w:hideMark/>
          </w:tcPr>
          <w:p w14:paraId="52D5CDF6"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3. Option Price</w:t>
            </w:r>
          </w:p>
        </w:tc>
        <w:tc>
          <w:tcPr>
            <w:tcW w:w="49" w:type="dxa"/>
            <w:tcBorders>
              <w:top w:val="nil"/>
              <w:left w:val="nil"/>
              <w:bottom w:val="nil"/>
              <w:right w:val="nil"/>
            </w:tcBorders>
            <w:shd w:val="clear" w:color="auto" w:fill="auto"/>
            <w:noWrap/>
            <w:vAlign w:val="bottom"/>
            <w:hideMark/>
          </w:tcPr>
          <w:p w14:paraId="6F4B36DF"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p>
        </w:tc>
        <w:tc>
          <w:tcPr>
            <w:tcW w:w="1300" w:type="dxa"/>
            <w:tcBorders>
              <w:top w:val="nil"/>
              <w:left w:val="nil"/>
              <w:bottom w:val="nil"/>
              <w:right w:val="nil"/>
            </w:tcBorders>
            <w:shd w:val="clear" w:color="auto" w:fill="auto"/>
            <w:noWrap/>
            <w:vAlign w:val="bottom"/>
            <w:hideMark/>
          </w:tcPr>
          <w:p w14:paraId="3385076B"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7.104807395</w:t>
            </w:r>
          </w:p>
        </w:tc>
      </w:tr>
      <w:tr w:rsidR="00BA392A" w:rsidRPr="00BA392A" w14:paraId="053E14F3" w14:textId="77777777" w:rsidTr="00BA392A">
        <w:trPr>
          <w:trHeight w:val="264"/>
        </w:trPr>
        <w:tc>
          <w:tcPr>
            <w:tcW w:w="3160" w:type="dxa"/>
            <w:gridSpan w:val="2"/>
            <w:tcBorders>
              <w:top w:val="nil"/>
              <w:left w:val="single" w:sz="8" w:space="0" w:color="auto"/>
              <w:bottom w:val="nil"/>
              <w:right w:val="nil"/>
            </w:tcBorders>
            <w:shd w:val="clear" w:color="auto" w:fill="auto"/>
            <w:vAlign w:val="bottom"/>
            <w:hideMark/>
          </w:tcPr>
          <w:p w14:paraId="1D88568E"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4. Estimated Option Price</w:t>
            </w:r>
          </w:p>
        </w:tc>
        <w:tc>
          <w:tcPr>
            <w:tcW w:w="1300" w:type="dxa"/>
            <w:tcBorders>
              <w:top w:val="nil"/>
              <w:left w:val="nil"/>
              <w:bottom w:val="nil"/>
              <w:right w:val="nil"/>
            </w:tcBorders>
            <w:shd w:val="clear" w:color="auto" w:fill="auto"/>
            <w:noWrap/>
            <w:vAlign w:val="bottom"/>
            <w:hideMark/>
          </w:tcPr>
          <w:p w14:paraId="126D46B4"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10.11284789</w:t>
            </w:r>
          </w:p>
        </w:tc>
      </w:tr>
      <w:tr w:rsidR="00BA392A" w:rsidRPr="00BA392A" w14:paraId="7DCE71EA" w14:textId="77777777" w:rsidTr="00BA392A">
        <w:trPr>
          <w:trHeight w:val="264"/>
        </w:trPr>
        <w:tc>
          <w:tcPr>
            <w:tcW w:w="3160" w:type="dxa"/>
            <w:gridSpan w:val="2"/>
            <w:tcBorders>
              <w:top w:val="nil"/>
              <w:left w:val="single" w:sz="8" w:space="0" w:color="auto"/>
              <w:bottom w:val="nil"/>
              <w:right w:val="nil"/>
            </w:tcBorders>
            <w:shd w:val="clear" w:color="auto" w:fill="auto"/>
            <w:noWrap/>
            <w:vAlign w:val="bottom"/>
            <w:hideMark/>
          </w:tcPr>
          <w:p w14:paraId="39B6728A"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 xml:space="preserve">5. 95% </w:t>
            </w:r>
            <w:proofErr w:type="spellStart"/>
            <w:r w:rsidRPr="00BA392A">
              <w:rPr>
                <w:rFonts w:ascii="Arial" w:eastAsia="Times New Roman" w:hAnsi="Arial" w:cs="Arial"/>
                <w:kern w:val="0"/>
                <w:sz w:val="20"/>
                <w:szCs w:val="20"/>
                <w:lang w:eastAsia="en-IN"/>
                <w14:ligatures w14:val="none"/>
              </w:rPr>
              <w:t>VaR</w:t>
            </w:r>
            <w:proofErr w:type="spellEnd"/>
            <w:r w:rsidRPr="00BA392A">
              <w:rPr>
                <w:rFonts w:ascii="Arial" w:eastAsia="Times New Roman" w:hAnsi="Arial" w:cs="Arial"/>
                <w:kern w:val="0"/>
                <w:sz w:val="20"/>
                <w:szCs w:val="20"/>
                <w:lang w:eastAsia="en-IN"/>
                <w14:ligatures w14:val="none"/>
              </w:rPr>
              <w:t xml:space="preserve"> (Long)</w:t>
            </w:r>
          </w:p>
        </w:tc>
        <w:tc>
          <w:tcPr>
            <w:tcW w:w="1300" w:type="dxa"/>
            <w:tcBorders>
              <w:top w:val="nil"/>
              <w:left w:val="nil"/>
              <w:bottom w:val="nil"/>
              <w:right w:val="nil"/>
            </w:tcBorders>
            <w:shd w:val="clear" w:color="auto" w:fill="auto"/>
            <w:noWrap/>
            <w:vAlign w:val="bottom"/>
            <w:hideMark/>
          </w:tcPr>
          <w:p w14:paraId="2754DDD1"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58.03194733</w:t>
            </w:r>
          </w:p>
        </w:tc>
      </w:tr>
      <w:tr w:rsidR="00BA392A" w:rsidRPr="00BA392A" w14:paraId="457F6690" w14:textId="77777777" w:rsidTr="00BA392A">
        <w:trPr>
          <w:trHeight w:val="264"/>
        </w:trPr>
        <w:tc>
          <w:tcPr>
            <w:tcW w:w="3111" w:type="dxa"/>
            <w:tcBorders>
              <w:top w:val="nil"/>
              <w:left w:val="single" w:sz="8" w:space="0" w:color="auto"/>
              <w:bottom w:val="nil"/>
              <w:right w:val="nil"/>
            </w:tcBorders>
            <w:shd w:val="clear" w:color="auto" w:fill="auto"/>
            <w:noWrap/>
            <w:vAlign w:val="bottom"/>
            <w:hideMark/>
          </w:tcPr>
          <w:p w14:paraId="73F519C9"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 xml:space="preserve">6. 95% </w:t>
            </w:r>
            <w:proofErr w:type="spellStart"/>
            <w:r w:rsidRPr="00BA392A">
              <w:rPr>
                <w:rFonts w:ascii="Arial" w:eastAsia="Times New Roman" w:hAnsi="Arial" w:cs="Arial"/>
                <w:kern w:val="0"/>
                <w:sz w:val="20"/>
                <w:szCs w:val="20"/>
                <w:lang w:eastAsia="en-IN"/>
                <w14:ligatures w14:val="none"/>
              </w:rPr>
              <w:t>VaR</w:t>
            </w:r>
            <w:proofErr w:type="spellEnd"/>
            <w:r w:rsidRPr="00BA392A">
              <w:rPr>
                <w:rFonts w:ascii="Arial" w:eastAsia="Times New Roman" w:hAnsi="Arial" w:cs="Arial"/>
                <w:kern w:val="0"/>
                <w:sz w:val="20"/>
                <w:szCs w:val="20"/>
                <w:lang w:eastAsia="en-IN"/>
                <w14:ligatures w14:val="none"/>
              </w:rPr>
              <w:t xml:space="preserve"> (Short)</w:t>
            </w:r>
          </w:p>
        </w:tc>
        <w:tc>
          <w:tcPr>
            <w:tcW w:w="49" w:type="dxa"/>
            <w:tcBorders>
              <w:top w:val="nil"/>
              <w:left w:val="nil"/>
              <w:bottom w:val="nil"/>
              <w:right w:val="nil"/>
            </w:tcBorders>
            <w:shd w:val="clear" w:color="auto" w:fill="auto"/>
            <w:noWrap/>
            <w:vAlign w:val="bottom"/>
            <w:hideMark/>
          </w:tcPr>
          <w:p w14:paraId="1CEB36EC"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p>
        </w:tc>
        <w:tc>
          <w:tcPr>
            <w:tcW w:w="1300" w:type="dxa"/>
            <w:tcBorders>
              <w:top w:val="nil"/>
              <w:left w:val="nil"/>
              <w:bottom w:val="nil"/>
              <w:right w:val="nil"/>
            </w:tcBorders>
            <w:shd w:val="clear" w:color="auto" w:fill="auto"/>
            <w:noWrap/>
            <w:vAlign w:val="bottom"/>
            <w:hideMark/>
          </w:tcPr>
          <w:p w14:paraId="06A6BBCD"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72.82377876</w:t>
            </w:r>
          </w:p>
        </w:tc>
      </w:tr>
      <w:tr w:rsidR="00BA392A" w:rsidRPr="00BA392A" w14:paraId="3E27BA48" w14:textId="77777777" w:rsidTr="00BA392A">
        <w:trPr>
          <w:trHeight w:val="264"/>
        </w:trPr>
        <w:tc>
          <w:tcPr>
            <w:tcW w:w="3111" w:type="dxa"/>
            <w:tcBorders>
              <w:top w:val="nil"/>
              <w:left w:val="single" w:sz="8" w:space="0" w:color="auto"/>
              <w:bottom w:val="nil"/>
              <w:right w:val="nil"/>
            </w:tcBorders>
            <w:shd w:val="clear" w:color="auto" w:fill="auto"/>
            <w:noWrap/>
            <w:vAlign w:val="bottom"/>
            <w:hideMark/>
          </w:tcPr>
          <w:p w14:paraId="438E79E7"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7. 95% Var (Combined)</w:t>
            </w:r>
          </w:p>
        </w:tc>
        <w:tc>
          <w:tcPr>
            <w:tcW w:w="49" w:type="dxa"/>
            <w:tcBorders>
              <w:top w:val="nil"/>
              <w:left w:val="nil"/>
              <w:bottom w:val="nil"/>
              <w:right w:val="nil"/>
            </w:tcBorders>
            <w:shd w:val="clear" w:color="auto" w:fill="auto"/>
            <w:noWrap/>
            <w:vAlign w:val="bottom"/>
            <w:hideMark/>
          </w:tcPr>
          <w:p w14:paraId="4BE779B8"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p>
        </w:tc>
        <w:tc>
          <w:tcPr>
            <w:tcW w:w="1300" w:type="dxa"/>
            <w:tcBorders>
              <w:top w:val="nil"/>
              <w:left w:val="nil"/>
              <w:bottom w:val="nil"/>
              <w:right w:val="nil"/>
            </w:tcBorders>
            <w:shd w:val="clear" w:color="auto" w:fill="auto"/>
            <w:noWrap/>
            <w:vAlign w:val="bottom"/>
            <w:hideMark/>
          </w:tcPr>
          <w:p w14:paraId="0A3569C7"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96.02484109</w:t>
            </w:r>
          </w:p>
        </w:tc>
      </w:tr>
      <w:tr w:rsidR="00BA392A" w:rsidRPr="00BA392A" w14:paraId="639A21E9" w14:textId="77777777" w:rsidTr="00BA392A">
        <w:trPr>
          <w:trHeight w:val="264"/>
        </w:trPr>
        <w:tc>
          <w:tcPr>
            <w:tcW w:w="3111" w:type="dxa"/>
            <w:tcBorders>
              <w:top w:val="nil"/>
              <w:left w:val="single" w:sz="8" w:space="0" w:color="auto"/>
              <w:bottom w:val="nil"/>
              <w:right w:val="nil"/>
            </w:tcBorders>
            <w:shd w:val="clear" w:color="auto" w:fill="auto"/>
            <w:noWrap/>
            <w:vAlign w:val="bottom"/>
            <w:hideMark/>
          </w:tcPr>
          <w:p w14:paraId="15221E79"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8. KI Barrier Option Price</w:t>
            </w:r>
          </w:p>
        </w:tc>
        <w:tc>
          <w:tcPr>
            <w:tcW w:w="49" w:type="dxa"/>
            <w:tcBorders>
              <w:top w:val="nil"/>
              <w:left w:val="nil"/>
              <w:bottom w:val="nil"/>
              <w:right w:val="nil"/>
            </w:tcBorders>
            <w:shd w:val="clear" w:color="auto" w:fill="auto"/>
            <w:noWrap/>
            <w:vAlign w:val="bottom"/>
            <w:hideMark/>
          </w:tcPr>
          <w:p w14:paraId="58F7B1EA"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p>
        </w:tc>
        <w:tc>
          <w:tcPr>
            <w:tcW w:w="1300" w:type="dxa"/>
            <w:tcBorders>
              <w:top w:val="nil"/>
              <w:left w:val="nil"/>
              <w:bottom w:val="nil"/>
              <w:right w:val="nil"/>
            </w:tcBorders>
            <w:shd w:val="clear" w:color="auto" w:fill="auto"/>
            <w:noWrap/>
            <w:vAlign w:val="bottom"/>
            <w:hideMark/>
          </w:tcPr>
          <w:p w14:paraId="3171536C"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65.81143322</w:t>
            </w:r>
          </w:p>
        </w:tc>
      </w:tr>
      <w:tr w:rsidR="00BA392A" w:rsidRPr="00BA392A" w14:paraId="69AE3278" w14:textId="77777777" w:rsidTr="00BA392A">
        <w:trPr>
          <w:trHeight w:val="264"/>
        </w:trPr>
        <w:tc>
          <w:tcPr>
            <w:tcW w:w="3111" w:type="dxa"/>
            <w:tcBorders>
              <w:top w:val="nil"/>
              <w:left w:val="single" w:sz="8" w:space="0" w:color="auto"/>
              <w:bottom w:val="nil"/>
              <w:right w:val="nil"/>
            </w:tcBorders>
            <w:shd w:val="clear" w:color="auto" w:fill="auto"/>
            <w:noWrap/>
            <w:vAlign w:val="bottom"/>
            <w:hideMark/>
          </w:tcPr>
          <w:p w14:paraId="2B13D305"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9. Difference BW 8 and 4</w:t>
            </w:r>
          </w:p>
        </w:tc>
        <w:tc>
          <w:tcPr>
            <w:tcW w:w="49" w:type="dxa"/>
            <w:tcBorders>
              <w:top w:val="nil"/>
              <w:left w:val="nil"/>
              <w:bottom w:val="nil"/>
              <w:right w:val="nil"/>
            </w:tcBorders>
            <w:shd w:val="clear" w:color="auto" w:fill="auto"/>
            <w:noWrap/>
            <w:vAlign w:val="bottom"/>
            <w:hideMark/>
          </w:tcPr>
          <w:p w14:paraId="32932575"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p>
        </w:tc>
        <w:tc>
          <w:tcPr>
            <w:tcW w:w="1300" w:type="dxa"/>
            <w:tcBorders>
              <w:top w:val="nil"/>
              <w:left w:val="nil"/>
              <w:bottom w:val="nil"/>
              <w:right w:val="nil"/>
            </w:tcBorders>
            <w:shd w:val="clear" w:color="auto" w:fill="auto"/>
            <w:noWrap/>
            <w:vAlign w:val="bottom"/>
            <w:hideMark/>
          </w:tcPr>
          <w:p w14:paraId="5210CDA6" w14:textId="77777777" w:rsidR="00BA392A" w:rsidRPr="00BA392A" w:rsidRDefault="00BA392A" w:rsidP="00BA392A">
            <w:pPr>
              <w:spacing w:after="0" w:line="240" w:lineRule="auto"/>
              <w:jc w:val="right"/>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55.69858533</w:t>
            </w:r>
          </w:p>
        </w:tc>
      </w:tr>
    </w:tbl>
    <w:p w14:paraId="29494B53" w14:textId="77777777" w:rsidR="007600CE" w:rsidRDefault="007600CE" w:rsidP="00050C27"/>
    <w:p w14:paraId="305427BF" w14:textId="77777777" w:rsidR="007600CE" w:rsidRDefault="007600CE" w:rsidP="00050C27"/>
    <w:p w14:paraId="395ED42B" w14:textId="258F653E" w:rsidR="00050C27" w:rsidRDefault="00BA392A" w:rsidP="0091691E">
      <w:r>
        <w:t>Question 2 – PART 9</w:t>
      </w:r>
    </w:p>
    <w:p w14:paraId="6DB70FB8" w14:textId="77777777" w:rsidR="00BA392A" w:rsidRDefault="00BA392A" w:rsidP="0091691E"/>
    <w:p w14:paraId="6AA48604" w14:textId="77777777" w:rsidR="00BA392A" w:rsidRDefault="00BA392A" w:rsidP="00BA392A">
      <w:r>
        <w:t>European Call (10.11): This option offers the right, but not the obligation, to buy the stock at a certain price (strike price) by expiration. It provides a guaranteed payout if the stock price is above the strike price at expiration.</w:t>
      </w:r>
    </w:p>
    <w:p w14:paraId="44B64781" w14:textId="77777777" w:rsidR="00BA392A" w:rsidRDefault="00BA392A" w:rsidP="00BA392A">
      <w:r>
        <w:t>Knock-In Call (65.8): This option is similar, but with an added layer of risk. It only becomes active (like a regular European Call) if the stock price reaches a specific barrier level (U) before expiration. If the price never reaches the barrier, the Knock-In Call expires worthless.</w:t>
      </w:r>
    </w:p>
    <w:p w14:paraId="1FE209F7" w14:textId="77777777" w:rsidR="00BA392A" w:rsidRDefault="00BA392A" w:rsidP="00BA392A">
      <w:r>
        <w:t>Because of this additional risk, the Knock-In Call option is priced lower to compensate for the possibility that it might not pay out anything. The difference of 55.69 reflects the market's pricing for this extra risk.</w:t>
      </w:r>
    </w:p>
    <w:p w14:paraId="3DA50400" w14:textId="77777777" w:rsidR="00BA392A" w:rsidRDefault="00BA392A" w:rsidP="00BA392A"/>
    <w:p w14:paraId="780A6785" w14:textId="7E974179" w:rsidR="00BA392A" w:rsidRDefault="00BA392A" w:rsidP="00BA392A">
      <w:r>
        <w:t>In essence, you pay a premium for the guaranteed potential profit of the European Call compared to the lower price but uncertain payoff of the Knock-In Call.</w:t>
      </w:r>
    </w:p>
    <w:p w14:paraId="1A227441" w14:textId="77777777" w:rsidR="00BA392A" w:rsidRDefault="00BA392A" w:rsidP="00BA392A"/>
    <w:p w14:paraId="7EC9E0EA" w14:textId="77777777" w:rsidR="00403C8C" w:rsidRDefault="00403C8C" w:rsidP="00BA392A"/>
    <w:p w14:paraId="568A2400" w14:textId="77777777" w:rsidR="00403C8C" w:rsidRDefault="00403C8C" w:rsidP="00BA392A"/>
    <w:p w14:paraId="48779BF9" w14:textId="3BEF723E" w:rsidR="00BA392A" w:rsidRDefault="00BA392A" w:rsidP="00BA392A">
      <w:r>
        <w:lastRenderedPageBreak/>
        <w:t xml:space="preserve">MCQ : </w:t>
      </w:r>
    </w:p>
    <w:tbl>
      <w:tblPr>
        <w:tblW w:w="3600" w:type="dxa"/>
        <w:tblInd w:w="108" w:type="dxa"/>
        <w:tblLook w:val="04A0" w:firstRow="1" w:lastRow="0" w:firstColumn="1" w:lastColumn="0" w:noHBand="0" w:noVBand="1"/>
      </w:tblPr>
      <w:tblGrid>
        <w:gridCol w:w="2120"/>
        <w:gridCol w:w="1480"/>
      </w:tblGrid>
      <w:tr w:rsidR="00BA392A" w:rsidRPr="00BA392A" w14:paraId="75F566A0" w14:textId="77777777" w:rsidTr="00BA392A">
        <w:trPr>
          <w:trHeight w:val="264"/>
        </w:trPr>
        <w:tc>
          <w:tcPr>
            <w:tcW w:w="2120" w:type="dxa"/>
            <w:tcBorders>
              <w:top w:val="nil"/>
              <w:left w:val="nil"/>
              <w:bottom w:val="nil"/>
              <w:right w:val="nil"/>
            </w:tcBorders>
            <w:shd w:val="clear" w:color="auto" w:fill="auto"/>
            <w:noWrap/>
            <w:vAlign w:val="bottom"/>
            <w:hideMark/>
          </w:tcPr>
          <w:p w14:paraId="1B8A02A2"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Question Number</w:t>
            </w:r>
          </w:p>
        </w:tc>
        <w:tc>
          <w:tcPr>
            <w:tcW w:w="1480" w:type="dxa"/>
            <w:tcBorders>
              <w:top w:val="nil"/>
              <w:left w:val="nil"/>
              <w:bottom w:val="nil"/>
              <w:right w:val="nil"/>
            </w:tcBorders>
            <w:shd w:val="clear" w:color="auto" w:fill="auto"/>
            <w:noWrap/>
            <w:vAlign w:val="bottom"/>
            <w:hideMark/>
          </w:tcPr>
          <w:p w14:paraId="1893B78D" w14:textId="77777777" w:rsidR="00BA392A" w:rsidRPr="00BA392A" w:rsidRDefault="00BA392A" w:rsidP="00BA392A">
            <w:pPr>
              <w:spacing w:after="0" w:line="240" w:lineRule="auto"/>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Answer Choice</w:t>
            </w:r>
          </w:p>
        </w:tc>
      </w:tr>
      <w:tr w:rsidR="00BA392A" w:rsidRPr="00BA392A" w14:paraId="4FFC8024" w14:textId="77777777" w:rsidTr="00BA392A">
        <w:trPr>
          <w:trHeight w:val="264"/>
        </w:trPr>
        <w:tc>
          <w:tcPr>
            <w:tcW w:w="2120" w:type="dxa"/>
            <w:tcBorders>
              <w:top w:val="nil"/>
              <w:left w:val="nil"/>
              <w:bottom w:val="nil"/>
              <w:right w:val="nil"/>
            </w:tcBorders>
            <w:shd w:val="clear" w:color="auto" w:fill="auto"/>
            <w:noWrap/>
            <w:vAlign w:val="bottom"/>
            <w:hideMark/>
          </w:tcPr>
          <w:p w14:paraId="626EF020"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w:t>
            </w:r>
          </w:p>
        </w:tc>
        <w:tc>
          <w:tcPr>
            <w:tcW w:w="1480" w:type="dxa"/>
            <w:tcBorders>
              <w:top w:val="nil"/>
              <w:left w:val="nil"/>
              <w:bottom w:val="nil"/>
              <w:right w:val="nil"/>
            </w:tcBorders>
            <w:shd w:val="clear" w:color="auto" w:fill="auto"/>
            <w:noWrap/>
            <w:vAlign w:val="bottom"/>
            <w:hideMark/>
          </w:tcPr>
          <w:p w14:paraId="54FED9F5"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2C55EFFE" w14:textId="77777777" w:rsidTr="00BA392A">
        <w:trPr>
          <w:trHeight w:val="264"/>
        </w:trPr>
        <w:tc>
          <w:tcPr>
            <w:tcW w:w="2120" w:type="dxa"/>
            <w:tcBorders>
              <w:top w:val="nil"/>
              <w:left w:val="nil"/>
              <w:bottom w:val="nil"/>
              <w:right w:val="nil"/>
            </w:tcBorders>
            <w:shd w:val="clear" w:color="auto" w:fill="auto"/>
            <w:noWrap/>
            <w:vAlign w:val="bottom"/>
            <w:hideMark/>
          </w:tcPr>
          <w:p w14:paraId="24CCD3C0"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w:t>
            </w:r>
          </w:p>
        </w:tc>
        <w:tc>
          <w:tcPr>
            <w:tcW w:w="1480" w:type="dxa"/>
            <w:tcBorders>
              <w:top w:val="nil"/>
              <w:left w:val="nil"/>
              <w:bottom w:val="nil"/>
              <w:right w:val="nil"/>
            </w:tcBorders>
            <w:shd w:val="clear" w:color="auto" w:fill="auto"/>
            <w:noWrap/>
            <w:vAlign w:val="bottom"/>
            <w:hideMark/>
          </w:tcPr>
          <w:p w14:paraId="60E42B17"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58E3F0A1" w14:textId="77777777" w:rsidTr="00BA392A">
        <w:trPr>
          <w:trHeight w:val="264"/>
        </w:trPr>
        <w:tc>
          <w:tcPr>
            <w:tcW w:w="2120" w:type="dxa"/>
            <w:tcBorders>
              <w:top w:val="nil"/>
              <w:left w:val="nil"/>
              <w:bottom w:val="nil"/>
              <w:right w:val="nil"/>
            </w:tcBorders>
            <w:shd w:val="clear" w:color="auto" w:fill="auto"/>
            <w:noWrap/>
            <w:vAlign w:val="bottom"/>
            <w:hideMark/>
          </w:tcPr>
          <w:p w14:paraId="77E4A68E"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3</w:t>
            </w:r>
          </w:p>
        </w:tc>
        <w:tc>
          <w:tcPr>
            <w:tcW w:w="1480" w:type="dxa"/>
            <w:tcBorders>
              <w:top w:val="nil"/>
              <w:left w:val="nil"/>
              <w:bottom w:val="nil"/>
              <w:right w:val="nil"/>
            </w:tcBorders>
            <w:shd w:val="clear" w:color="auto" w:fill="auto"/>
            <w:noWrap/>
            <w:vAlign w:val="bottom"/>
            <w:hideMark/>
          </w:tcPr>
          <w:p w14:paraId="19D69A23"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20C5FA38" w14:textId="77777777" w:rsidTr="00BA392A">
        <w:trPr>
          <w:trHeight w:val="264"/>
        </w:trPr>
        <w:tc>
          <w:tcPr>
            <w:tcW w:w="2120" w:type="dxa"/>
            <w:tcBorders>
              <w:top w:val="nil"/>
              <w:left w:val="nil"/>
              <w:bottom w:val="nil"/>
              <w:right w:val="nil"/>
            </w:tcBorders>
            <w:shd w:val="clear" w:color="auto" w:fill="auto"/>
            <w:noWrap/>
            <w:vAlign w:val="bottom"/>
            <w:hideMark/>
          </w:tcPr>
          <w:p w14:paraId="3B932801"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4</w:t>
            </w:r>
          </w:p>
        </w:tc>
        <w:tc>
          <w:tcPr>
            <w:tcW w:w="1480" w:type="dxa"/>
            <w:tcBorders>
              <w:top w:val="nil"/>
              <w:left w:val="nil"/>
              <w:bottom w:val="nil"/>
              <w:right w:val="nil"/>
            </w:tcBorders>
            <w:shd w:val="clear" w:color="auto" w:fill="auto"/>
            <w:noWrap/>
            <w:vAlign w:val="bottom"/>
            <w:hideMark/>
          </w:tcPr>
          <w:p w14:paraId="17728E33"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6C65BAAB" w14:textId="77777777" w:rsidTr="00BA392A">
        <w:trPr>
          <w:trHeight w:val="264"/>
        </w:trPr>
        <w:tc>
          <w:tcPr>
            <w:tcW w:w="2120" w:type="dxa"/>
            <w:tcBorders>
              <w:top w:val="nil"/>
              <w:left w:val="nil"/>
              <w:bottom w:val="nil"/>
              <w:right w:val="nil"/>
            </w:tcBorders>
            <w:shd w:val="clear" w:color="auto" w:fill="auto"/>
            <w:noWrap/>
            <w:vAlign w:val="bottom"/>
            <w:hideMark/>
          </w:tcPr>
          <w:p w14:paraId="661CF8F4"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5</w:t>
            </w:r>
          </w:p>
        </w:tc>
        <w:tc>
          <w:tcPr>
            <w:tcW w:w="1480" w:type="dxa"/>
            <w:tcBorders>
              <w:top w:val="nil"/>
              <w:left w:val="nil"/>
              <w:bottom w:val="nil"/>
              <w:right w:val="nil"/>
            </w:tcBorders>
            <w:shd w:val="clear" w:color="auto" w:fill="auto"/>
            <w:noWrap/>
            <w:vAlign w:val="bottom"/>
            <w:hideMark/>
          </w:tcPr>
          <w:p w14:paraId="008794D7"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02FE1B9C" w14:textId="77777777" w:rsidTr="00BA392A">
        <w:trPr>
          <w:trHeight w:val="264"/>
        </w:trPr>
        <w:tc>
          <w:tcPr>
            <w:tcW w:w="2120" w:type="dxa"/>
            <w:tcBorders>
              <w:top w:val="nil"/>
              <w:left w:val="nil"/>
              <w:bottom w:val="nil"/>
              <w:right w:val="nil"/>
            </w:tcBorders>
            <w:shd w:val="clear" w:color="auto" w:fill="auto"/>
            <w:noWrap/>
            <w:vAlign w:val="bottom"/>
            <w:hideMark/>
          </w:tcPr>
          <w:p w14:paraId="15B725AA"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6</w:t>
            </w:r>
          </w:p>
        </w:tc>
        <w:tc>
          <w:tcPr>
            <w:tcW w:w="1480" w:type="dxa"/>
            <w:tcBorders>
              <w:top w:val="nil"/>
              <w:left w:val="nil"/>
              <w:bottom w:val="nil"/>
              <w:right w:val="nil"/>
            </w:tcBorders>
            <w:shd w:val="clear" w:color="auto" w:fill="auto"/>
            <w:noWrap/>
            <w:vAlign w:val="bottom"/>
            <w:hideMark/>
          </w:tcPr>
          <w:p w14:paraId="2E2CAD38"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d</w:t>
            </w:r>
          </w:p>
        </w:tc>
      </w:tr>
      <w:tr w:rsidR="00BA392A" w:rsidRPr="00BA392A" w14:paraId="7993FA7B" w14:textId="77777777" w:rsidTr="00BA392A">
        <w:trPr>
          <w:trHeight w:val="264"/>
        </w:trPr>
        <w:tc>
          <w:tcPr>
            <w:tcW w:w="2120" w:type="dxa"/>
            <w:tcBorders>
              <w:top w:val="nil"/>
              <w:left w:val="nil"/>
              <w:bottom w:val="nil"/>
              <w:right w:val="nil"/>
            </w:tcBorders>
            <w:shd w:val="clear" w:color="auto" w:fill="auto"/>
            <w:noWrap/>
            <w:vAlign w:val="bottom"/>
            <w:hideMark/>
          </w:tcPr>
          <w:p w14:paraId="6975D01D"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7</w:t>
            </w:r>
          </w:p>
        </w:tc>
        <w:tc>
          <w:tcPr>
            <w:tcW w:w="1480" w:type="dxa"/>
            <w:tcBorders>
              <w:top w:val="nil"/>
              <w:left w:val="nil"/>
              <w:bottom w:val="nil"/>
              <w:right w:val="nil"/>
            </w:tcBorders>
            <w:shd w:val="clear" w:color="auto" w:fill="auto"/>
            <w:noWrap/>
            <w:vAlign w:val="bottom"/>
            <w:hideMark/>
          </w:tcPr>
          <w:p w14:paraId="67BDDB53"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3B33D312" w14:textId="77777777" w:rsidTr="00BA392A">
        <w:trPr>
          <w:trHeight w:val="264"/>
        </w:trPr>
        <w:tc>
          <w:tcPr>
            <w:tcW w:w="2120" w:type="dxa"/>
            <w:tcBorders>
              <w:top w:val="nil"/>
              <w:left w:val="nil"/>
              <w:bottom w:val="nil"/>
              <w:right w:val="nil"/>
            </w:tcBorders>
            <w:shd w:val="clear" w:color="auto" w:fill="auto"/>
            <w:noWrap/>
            <w:vAlign w:val="bottom"/>
            <w:hideMark/>
          </w:tcPr>
          <w:p w14:paraId="3CFD4023"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8</w:t>
            </w:r>
          </w:p>
        </w:tc>
        <w:tc>
          <w:tcPr>
            <w:tcW w:w="1480" w:type="dxa"/>
            <w:tcBorders>
              <w:top w:val="nil"/>
              <w:left w:val="nil"/>
              <w:bottom w:val="nil"/>
              <w:right w:val="nil"/>
            </w:tcBorders>
            <w:shd w:val="clear" w:color="auto" w:fill="auto"/>
            <w:noWrap/>
            <w:vAlign w:val="bottom"/>
            <w:hideMark/>
          </w:tcPr>
          <w:p w14:paraId="5A925781"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3F63F576" w14:textId="77777777" w:rsidTr="00BA392A">
        <w:trPr>
          <w:trHeight w:val="264"/>
        </w:trPr>
        <w:tc>
          <w:tcPr>
            <w:tcW w:w="2120" w:type="dxa"/>
            <w:tcBorders>
              <w:top w:val="nil"/>
              <w:left w:val="nil"/>
              <w:bottom w:val="nil"/>
              <w:right w:val="nil"/>
            </w:tcBorders>
            <w:shd w:val="clear" w:color="auto" w:fill="auto"/>
            <w:noWrap/>
            <w:vAlign w:val="bottom"/>
            <w:hideMark/>
          </w:tcPr>
          <w:p w14:paraId="4E351FE5"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9</w:t>
            </w:r>
          </w:p>
        </w:tc>
        <w:tc>
          <w:tcPr>
            <w:tcW w:w="1480" w:type="dxa"/>
            <w:tcBorders>
              <w:top w:val="nil"/>
              <w:left w:val="nil"/>
              <w:bottom w:val="nil"/>
              <w:right w:val="nil"/>
            </w:tcBorders>
            <w:shd w:val="clear" w:color="auto" w:fill="auto"/>
            <w:noWrap/>
            <w:vAlign w:val="bottom"/>
            <w:hideMark/>
          </w:tcPr>
          <w:p w14:paraId="67158388"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5B69CE34" w14:textId="77777777" w:rsidTr="00BA392A">
        <w:trPr>
          <w:trHeight w:val="264"/>
        </w:trPr>
        <w:tc>
          <w:tcPr>
            <w:tcW w:w="2120" w:type="dxa"/>
            <w:tcBorders>
              <w:top w:val="nil"/>
              <w:left w:val="nil"/>
              <w:bottom w:val="nil"/>
              <w:right w:val="nil"/>
            </w:tcBorders>
            <w:shd w:val="clear" w:color="auto" w:fill="auto"/>
            <w:noWrap/>
            <w:vAlign w:val="bottom"/>
            <w:hideMark/>
          </w:tcPr>
          <w:p w14:paraId="78CC8FC6"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10</w:t>
            </w:r>
          </w:p>
        </w:tc>
        <w:tc>
          <w:tcPr>
            <w:tcW w:w="1480" w:type="dxa"/>
            <w:tcBorders>
              <w:top w:val="nil"/>
              <w:left w:val="nil"/>
              <w:bottom w:val="nil"/>
              <w:right w:val="nil"/>
            </w:tcBorders>
            <w:shd w:val="clear" w:color="auto" w:fill="auto"/>
            <w:noWrap/>
            <w:vAlign w:val="bottom"/>
            <w:hideMark/>
          </w:tcPr>
          <w:p w14:paraId="5AB48BF3"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6185D932" w14:textId="77777777" w:rsidTr="00BA392A">
        <w:trPr>
          <w:trHeight w:val="264"/>
        </w:trPr>
        <w:tc>
          <w:tcPr>
            <w:tcW w:w="2120" w:type="dxa"/>
            <w:tcBorders>
              <w:top w:val="nil"/>
              <w:left w:val="nil"/>
              <w:bottom w:val="nil"/>
              <w:right w:val="nil"/>
            </w:tcBorders>
            <w:shd w:val="clear" w:color="auto" w:fill="auto"/>
            <w:noWrap/>
            <w:vAlign w:val="bottom"/>
            <w:hideMark/>
          </w:tcPr>
          <w:p w14:paraId="0518946F"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11</w:t>
            </w:r>
          </w:p>
        </w:tc>
        <w:tc>
          <w:tcPr>
            <w:tcW w:w="1480" w:type="dxa"/>
            <w:tcBorders>
              <w:top w:val="nil"/>
              <w:left w:val="nil"/>
              <w:bottom w:val="nil"/>
              <w:right w:val="nil"/>
            </w:tcBorders>
            <w:shd w:val="clear" w:color="auto" w:fill="auto"/>
            <w:noWrap/>
            <w:vAlign w:val="bottom"/>
            <w:hideMark/>
          </w:tcPr>
          <w:p w14:paraId="1B031D40"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d</w:t>
            </w:r>
          </w:p>
        </w:tc>
      </w:tr>
      <w:tr w:rsidR="00BA392A" w:rsidRPr="00BA392A" w14:paraId="76448D08" w14:textId="77777777" w:rsidTr="00BA392A">
        <w:trPr>
          <w:trHeight w:val="264"/>
        </w:trPr>
        <w:tc>
          <w:tcPr>
            <w:tcW w:w="2120" w:type="dxa"/>
            <w:tcBorders>
              <w:top w:val="nil"/>
              <w:left w:val="nil"/>
              <w:bottom w:val="nil"/>
              <w:right w:val="nil"/>
            </w:tcBorders>
            <w:shd w:val="clear" w:color="auto" w:fill="auto"/>
            <w:noWrap/>
            <w:vAlign w:val="bottom"/>
            <w:hideMark/>
          </w:tcPr>
          <w:p w14:paraId="66EA2ECD"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12</w:t>
            </w:r>
          </w:p>
        </w:tc>
        <w:tc>
          <w:tcPr>
            <w:tcW w:w="1480" w:type="dxa"/>
            <w:tcBorders>
              <w:top w:val="nil"/>
              <w:left w:val="nil"/>
              <w:bottom w:val="nil"/>
              <w:right w:val="nil"/>
            </w:tcBorders>
            <w:shd w:val="clear" w:color="auto" w:fill="auto"/>
            <w:noWrap/>
            <w:vAlign w:val="bottom"/>
            <w:hideMark/>
          </w:tcPr>
          <w:p w14:paraId="41124DEE"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3E78A0AF" w14:textId="77777777" w:rsidTr="00BA392A">
        <w:trPr>
          <w:trHeight w:val="264"/>
        </w:trPr>
        <w:tc>
          <w:tcPr>
            <w:tcW w:w="2120" w:type="dxa"/>
            <w:tcBorders>
              <w:top w:val="nil"/>
              <w:left w:val="nil"/>
              <w:bottom w:val="nil"/>
              <w:right w:val="nil"/>
            </w:tcBorders>
            <w:shd w:val="clear" w:color="auto" w:fill="auto"/>
            <w:noWrap/>
            <w:vAlign w:val="bottom"/>
            <w:hideMark/>
          </w:tcPr>
          <w:p w14:paraId="3EE3697D"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13</w:t>
            </w:r>
          </w:p>
        </w:tc>
        <w:tc>
          <w:tcPr>
            <w:tcW w:w="1480" w:type="dxa"/>
            <w:tcBorders>
              <w:top w:val="nil"/>
              <w:left w:val="nil"/>
              <w:bottom w:val="nil"/>
              <w:right w:val="nil"/>
            </w:tcBorders>
            <w:shd w:val="clear" w:color="auto" w:fill="auto"/>
            <w:noWrap/>
            <w:vAlign w:val="bottom"/>
            <w:hideMark/>
          </w:tcPr>
          <w:p w14:paraId="3552A45F"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4A587533" w14:textId="77777777" w:rsidTr="00BA392A">
        <w:trPr>
          <w:trHeight w:val="264"/>
        </w:trPr>
        <w:tc>
          <w:tcPr>
            <w:tcW w:w="2120" w:type="dxa"/>
            <w:tcBorders>
              <w:top w:val="nil"/>
              <w:left w:val="nil"/>
              <w:bottom w:val="nil"/>
              <w:right w:val="nil"/>
            </w:tcBorders>
            <w:shd w:val="clear" w:color="auto" w:fill="auto"/>
            <w:noWrap/>
            <w:vAlign w:val="bottom"/>
            <w:hideMark/>
          </w:tcPr>
          <w:p w14:paraId="34B9410D"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14</w:t>
            </w:r>
          </w:p>
        </w:tc>
        <w:tc>
          <w:tcPr>
            <w:tcW w:w="1480" w:type="dxa"/>
            <w:tcBorders>
              <w:top w:val="nil"/>
              <w:left w:val="nil"/>
              <w:bottom w:val="nil"/>
              <w:right w:val="nil"/>
            </w:tcBorders>
            <w:shd w:val="clear" w:color="auto" w:fill="auto"/>
            <w:noWrap/>
            <w:vAlign w:val="bottom"/>
            <w:hideMark/>
          </w:tcPr>
          <w:p w14:paraId="420163A4"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0351F71D" w14:textId="77777777" w:rsidTr="00BA392A">
        <w:trPr>
          <w:trHeight w:val="264"/>
        </w:trPr>
        <w:tc>
          <w:tcPr>
            <w:tcW w:w="2120" w:type="dxa"/>
            <w:tcBorders>
              <w:top w:val="nil"/>
              <w:left w:val="nil"/>
              <w:bottom w:val="nil"/>
              <w:right w:val="nil"/>
            </w:tcBorders>
            <w:shd w:val="clear" w:color="auto" w:fill="auto"/>
            <w:noWrap/>
            <w:vAlign w:val="bottom"/>
            <w:hideMark/>
          </w:tcPr>
          <w:p w14:paraId="3E951193"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15</w:t>
            </w:r>
          </w:p>
        </w:tc>
        <w:tc>
          <w:tcPr>
            <w:tcW w:w="1480" w:type="dxa"/>
            <w:tcBorders>
              <w:top w:val="nil"/>
              <w:left w:val="nil"/>
              <w:bottom w:val="nil"/>
              <w:right w:val="nil"/>
            </w:tcBorders>
            <w:shd w:val="clear" w:color="auto" w:fill="auto"/>
            <w:noWrap/>
            <w:vAlign w:val="bottom"/>
            <w:hideMark/>
          </w:tcPr>
          <w:p w14:paraId="77D00B64"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a</w:t>
            </w:r>
          </w:p>
        </w:tc>
      </w:tr>
      <w:tr w:rsidR="00BA392A" w:rsidRPr="00BA392A" w14:paraId="61CB005F" w14:textId="77777777" w:rsidTr="00BA392A">
        <w:trPr>
          <w:trHeight w:val="264"/>
        </w:trPr>
        <w:tc>
          <w:tcPr>
            <w:tcW w:w="2120" w:type="dxa"/>
            <w:tcBorders>
              <w:top w:val="nil"/>
              <w:left w:val="nil"/>
              <w:bottom w:val="nil"/>
              <w:right w:val="nil"/>
            </w:tcBorders>
            <w:shd w:val="clear" w:color="auto" w:fill="auto"/>
            <w:noWrap/>
            <w:vAlign w:val="bottom"/>
            <w:hideMark/>
          </w:tcPr>
          <w:p w14:paraId="7A81C9B4"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16</w:t>
            </w:r>
          </w:p>
        </w:tc>
        <w:tc>
          <w:tcPr>
            <w:tcW w:w="1480" w:type="dxa"/>
            <w:tcBorders>
              <w:top w:val="nil"/>
              <w:left w:val="nil"/>
              <w:bottom w:val="nil"/>
              <w:right w:val="nil"/>
            </w:tcBorders>
            <w:shd w:val="clear" w:color="auto" w:fill="auto"/>
            <w:noWrap/>
            <w:vAlign w:val="bottom"/>
            <w:hideMark/>
          </w:tcPr>
          <w:p w14:paraId="60240B1B"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42E34DDE" w14:textId="77777777" w:rsidTr="00BA392A">
        <w:trPr>
          <w:trHeight w:val="264"/>
        </w:trPr>
        <w:tc>
          <w:tcPr>
            <w:tcW w:w="2120" w:type="dxa"/>
            <w:tcBorders>
              <w:top w:val="nil"/>
              <w:left w:val="nil"/>
              <w:bottom w:val="nil"/>
              <w:right w:val="nil"/>
            </w:tcBorders>
            <w:shd w:val="clear" w:color="auto" w:fill="auto"/>
            <w:noWrap/>
            <w:vAlign w:val="bottom"/>
            <w:hideMark/>
          </w:tcPr>
          <w:p w14:paraId="43DA1620"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17</w:t>
            </w:r>
          </w:p>
        </w:tc>
        <w:tc>
          <w:tcPr>
            <w:tcW w:w="1480" w:type="dxa"/>
            <w:tcBorders>
              <w:top w:val="nil"/>
              <w:left w:val="nil"/>
              <w:bottom w:val="nil"/>
              <w:right w:val="nil"/>
            </w:tcBorders>
            <w:shd w:val="clear" w:color="auto" w:fill="auto"/>
            <w:noWrap/>
            <w:vAlign w:val="bottom"/>
            <w:hideMark/>
          </w:tcPr>
          <w:p w14:paraId="208FACC2"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d</w:t>
            </w:r>
          </w:p>
        </w:tc>
      </w:tr>
      <w:tr w:rsidR="00BA392A" w:rsidRPr="00BA392A" w14:paraId="08A5F59C" w14:textId="77777777" w:rsidTr="00BA392A">
        <w:trPr>
          <w:trHeight w:val="264"/>
        </w:trPr>
        <w:tc>
          <w:tcPr>
            <w:tcW w:w="2120" w:type="dxa"/>
            <w:tcBorders>
              <w:top w:val="nil"/>
              <w:left w:val="nil"/>
              <w:bottom w:val="nil"/>
              <w:right w:val="nil"/>
            </w:tcBorders>
            <w:shd w:val="clear" w:color="auto" w:fill="auto"/>
            <w:noWrap/>
            <w:vAlign w:val="bottom"/>
            <w:hideMark/>
          </w:tcPr>
          <w:p w14:paraId="252F0AC0"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18</w:t>
            </w:r>
          </w:p>
        </w:tc>
        <w:tc>
          <w:tcPr>
            <w:tcW w:w="1480" w:type="dxa"/>
            <w:tcBorders>
              <w:top w:val="nil"/>
              <w:left w:val="nil"/>
              <w:bottom w:val="nil"/>
              <w:right w:val="nil"/>
            </w:tcBorders>
            <w:shd w:val="clear" w:color="auto" w:fill="auto"/>
            <w:noWrap/>
            <w:vAlign w:val="bottom"/>
            <w:hideMark/>
          </w:tcPr>
          <w:p w14:paraId="18BC3E12"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7F4211A1" w14:textId="77777777" w:rsidTr="00BA392A">
        <w:trPr>
          <w:trHeight w:val="264"/>
        </w:trPr>
        <w:tc>
          <w:tcPr>
            <w:tcW w:w="2120" w:type="dxa"/>
            <w:tcBorders>
              <w:top w:val="nil"/>
              <w:left w:val="nil"/>
              <w:bottom w:val="nil"/>
              <w:right w:val="nil"/>
            </w:tcBorders>
            <w:shd w:val="clear" w:color="auto" w:fill="auto"/>
            <w:noWrap/>
            <w:vAlign w:val="bottom"/>
            <w:hideMark/>
          </w:tcPr>
          <w:p w14:paraId="61CC1692"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19</w:t>
            </w:r>
          </w:p>
        </w:tc>
        <w:tc>
          <w:tcPr>
            <w:tcW w:w="1480" w:type="dxa"/>
            <w:tcBorders>
              <w:top w:val="nil"/>
              <w:left w:val="nil"/>
              <w:bottom w:val="nil"/>
              <w:right w:val="nil"/>
            </w:tcBorders>
            <w:shd w:val="clear" w:color="auto" w:fill="auto"/>
            <w:noWrap/>
            <w:vAlign w:val="bottom"/>
            <w:hideMark/>
          </w:tcPr>
          <w:p w14:paraId="6D8AC204"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2C414847" w14:textId="77777777" w:rsidTr="00BA392A">
        <w:trPr>
          <w:trHeight w:val="264"/>
        </w:trPr>
        <w:tc>
          <w:tcPr>
            <w:tcW w:w="2120" w:type="dxa"/>
            <w:tcBorders>
              <w:top w:val="nil"/>
              <w:left w:val="nil"/>
              <w:bottom w:val="nil"/>
              <w:right w:val="nil"/>
            </w:tcBorders>
            <w:shd w:val="clear" w:color="auto" w:fill="auto"/>
            <w:noWrap/>
            <w:vAlign w:val="bottom"/>
            <w:hideMark/>
          </w:tcPr>
          <w:p w14:paraId="24AB4932"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20</w:t>
            </w:r>
          </w:p>
        </w:tc>
        <w:tc>
          <w:tcPr>
            <w:tcW w:w="1480" w:type="dxa"/>
            <w:tcBorders>
              <w:top w:val="nil"/>
              <w:left w:val="nil"/>
              <w:bottom w:val="nil"/>
              <w:right w:val="nil"/>
            </w:tcBorders>
            <w:shd w:val="clear" w:color="auto" w:fill="auto"/>
            <w:noWrap/>
            <w:vAlign w:val="bottom"/>
            <w:hideMark/>
          </w:tcPr>
          <w:p w14:paraId="5A23D8CE"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6AF806D9" w14:textId="77777777" w:rsidTr="00BA392A">
        <w:trPr>
          <w:trHeight w:val="264"/>
        </w:trPr>
        <w:tc>
          <w:tcPr>
            <w:tcW w:w="2120" w:type="dxa"/>
            <w:tcBorders>
              <w:top w:val="nil"/>
              <w:left w:val="nil"/>
              <w:bottom w:val="nil"/>
              <w:right w:val="nil"/>
            </w:tcBorders>
            <w:shd w:val="clear" w:color="auto" w:fill="auto"/>
            <w:noWrap/>
            <w:vAlign w:val="bottom"/>
            <w:hideMark/>
          </w:tcPr>
          <w:p w14:paraId="5F7EA5C8"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21</w:t>
            </w:r>
          </w:p>
        </w:tc>
        <w:tc>
          <w:tcPr>
            <w:tcW w:w="1480" w:type="dxa"/>
            <w:tcBorders>
              <w:top w:val="nil"/>
              <w:left w:val="nil"/>
              <w:bottom w:val="nil"/>
              <w:right w:val="nil"/>
            </w:tcBorders>
            <w:shd w:val="clear" w:color="auto" w:fill="auto"/>
            <w:noWrap/>
            <w:vAlign w:val="bottom"/>
            <w:hideMark/>
          </w:tcPr>
          <w:p w14:paraId="18AAC944"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a</w:t>
            </w:r>
          </w:p>
        </w:tc>
      </w:tr>
      <w:tr w:rsidR="00BA392A" w:rsidRPr="00BA392A" w14:paraId="0E2C898A" w14:textId="77777777" w:rsidTr="00BA392A">
        <w:trPr>
          <w:trHeight w:val="264"/>
        </w:trPr>
        <w:tc>
          <w:tcPr>
            <w:tcW w:w="2120" w:type="dxa"/>
            <w:tcBorders>
              <w:top w:val="nil"/>
              <w:left w:val="nil"/>
              <w:bottom w:val="nil"/>
              <w:right w:val="nil"/>
            </w:tcBorders>
            <w:shd w:val="clear" w:color="auto" w:fill="auto"/>
            <w:noWrap/>
            <w:vAlign w:val="bottom"/>
            <w:hideMark/>
          </w:tcPr>
          <w:p w14:paraId="482BA82B"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22</w:t>
            </w:r>
          </w:p>
        </w:tc>
        <w:tc>
          <w:tcPr>
            <w:tcW w:w="1480" w:type="dxa"/>
            <w:tcBorders>
              <w:top w:val="nil"/>
              <w:left w:val="nil"/>
              <w:bottom w:val="nil"/>
              <w:right w:val="nil"/>
            </w:tcBorders>
            <w:shd w:val="clear" w:color="auto" w:fill="auto"/>
            <w:noWrap/>
            <w:vAlign w:val="bottom"/>
            <w:hideMark/>
          </w:tcPr>
          <w:p w14:paraId="4DDF64D8"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b</w:t>
            </w:r>
          </w:p>
        </w:tc>
      </w:tr>
      <w:tr w:rsidR="00BA392A" w:rsidRPr="00BA392A" w14:paraId="49BF19A4" w14:textId="77777777" w:rsidTr="00BA392A">
        <w:trPr>
          <w:trHeight w:val="264"/>
        </w:trPr>
        <w:tc>
          <w:tcPr>
            <w:tcW w:w="2120" w:type="dxa"/>
            <w:tcBorders>
              <w:top w:val="nil"/>
              <w:left w:val="nil"/>
              <w:bottom w:val="nil"/>
              <w:right w:val="nil"/>
            </w:tcBorders>
            <w:shd w:val="clear" w:color="auto" w:fill="auto"/>
            <w:noWrap/>
            <w:vAlign w:val="bottom"/>
            <w:hideMark/>
          </w:tcPr>
          <w:p w14:paraId="5DA52928"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23</w:t>
            </w:r>
          </w:p>
        </w:tc>
        <w:tc>
          <w:tcPr>
            <w:tcW w:w="1480" w:type="dxa"/>
            <w:tcBorders>
              <w:top w:val="nil"/>
              <w:left w:val="nil"/>
              <w:bottom w:val="nil"/>
              <w:right w:val="nil"/>
            </w:tcBorders>
            <w:shd w:val="clear" w:color="auto" w:fill="auto"/>
            <w:noWrap/>
            <w:vAlign w:val="bottom"/>
            <w:hideMark/>
          </w:tcPr>
          <w:p w14:paraId="2428BBF3"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4F38263F" w14:textId="77777777" w:rsidTr="00BA392A">
        <w:trPr>
          <w:trHeight w:val="264"/>
        </w:trPr>
        <w:tc>
          <w:tcPr>
            <w:tcW w:w="2120" w:type="dxa"/>
            <w:tcBorders>
              <w:top w:val="nil"/>
              <w:left w:val="nil"/>
              <w:bottom w:val="nil"/>
              <w:right w:val="nil"/>
            </w:tcBorders>
            <w:shd w:val="clear" w:color="auto" w:fill="auto"/>
            <w:noWrap/>
            <w:vAlign w:val="bottom"/>
            <w:hideMark/>
          </w:tcPr>
          <w:p w14:paraId="4347838B"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24</w:t>
            </w:r>
          </w:p>
        </w:tc>
        <w:tc>
          <w:tcPr>
            <w:tcW w:w="1480" w:type="dxa"/>
            <w:tcBorders>
              <w:top w:val="nil"/>
              <w:left w:val="nil"/>
              <w:bottom w:val="nil"/>
              <w:right w:val="nil"/>
            </w:tcBorders>
            <w:shd w:val="clear" w:color="auto" w:fill="auto"/>
            <w:noWrap/>
            <w:vAlign w:val="bottom"/>
            <w:hideMark/>
          </w:tcPr>
          <w:p w14:paraId="298E329B"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380E31A9" w14:textId="77777777" w:rsidTr="00BA392A">
        <w:trPr>
          <w:trHeight w:val="264"/>
        </w:trPr>
        <w:tc>
          <w:tcPr>
            <w:tcW w:w="2120" w:type="dxa"/>
            <w:tcBorders>
              <w:top w:val="nil"/>
              <w:left w:val="nil"/>
              <w:bottom w:val="nil"/>
              <w:right w:val="nil"/>
            </w:tcBorders>
            <w:shd w:val="clear" w:color="auto" w:fill="auto"/>
            <w:noWrap/>
            <w:vAlign w:val="bottom"/>
            <w:hideMark/>
          </w:tcPr>
          <w:p w14:paraId="382012BB"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25</w:t>
            </w:r>
          </w:p>
        </w:tc>
        <w:tc>
          <w:tcPr>
            <w:tcW w:w="1480" w:type="dxa"/>
            <w:tcBorders>
              <w:top w:val="nil"/>
              <w:left w:val="nil"/>
              <w:bottom w:val="nil"/>
              <w:right w:val="nil"/>
            </w:tcBorders>
            <w:shd w:val="clear" w:color="auto" w:fill="auto"/>
            <w:noWrap/>
            <w:vAlign w:val="bottom"/>
            <w:hideMark/>
          </w:tcPr>
          <w:p w14:paraId="417B7397"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a</w:t>
            </w:r>
          </w:p>
        </w:tc>
      </w:tr>
      <w:tr w:rsidR="00BA392A" w:rsidRPr="00BA392A" w14:paraId="4DB288AF" w14:textId="77777777" w:rsidTr="00BA392A">
        <w:trPr>
          <w:trHeight w:val="264"/>
        </w:trPr>
        <w:tc>
          <w:tcPr>
            <w:tcW w:w="2120" w:type="dxa"/>
            <w:tcBorders>
              <w:top w:val="nil"/>
              <w:left w:val="nil"/>
              <w:bottom w:val="nil"/>
              <w:right w:val="nil"/>
            </w:tcBorders>
            <w:shd w:val="clear" w:color="auto" w:fill="auto"/>
            <w:noWrap/>
            <w:vAlign w:val="bottom"/>
            <w:hideMark/>
          </w:tcPr>
          <w:p w14:paraId="1393F704"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26</w:t>
            </w:r>
          </w:p>
        </w:tc>
        <w:tc>
          <w:tcPr>
            <w:tcW w:w="1480" w:type="dxa"/>
            <w:tcBorders>
              <w:top w:val="nil"/>
              <w:left w:val="nil"/>
              <w:bottom w:val="nil"/>
              <w:right w:val="nil"/>
            </w:tcBorders>
            <w:shd w:val="clear" w:color="auto" w:fill="auto"/>
            <w:noWrap/>
            <w:vAlign w:val="bottom"/>
            <w:hideMark/>
          </w:tcPr>
          <w:p w14:paraId="2E780708"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c</w:t>
            </w:r>
          </w:p>
        </w:tc>
      </w:tr>
      <w:tr w:rsidR="00BA392A" w:rsidRPr="00BA392A" w14:paraId="50B97193" w14:textId="77777777" w:rsidTr="00BA392A">
        <w:trPr>
          <w:trHeight w:val="264"/>
        </w:trPr>
        <w:tc>
          <w:tcPr>
            <w:tcW w:w="2120" w:type="dxa"/>
            <w:tcBorders>
              <w:top w:val="nil"/>
              <w:left w:val="nil"/>
              <w:bottom w:val="nil"/>
              <w:right w:val="nil"/>
            </w:tcBorders>
            <w:shd w:val="clear" w:color="auto" w:fill="auto"/>
            <w:noWrap/>
            <w:vAlign w:val="bottom"/>
            <w:hideMark/>
          </w:tcPr>
          <w:p w14:paraId="5532860D" w14:textId="77777777" w:rsidR="00BA392A" w:rsidRPr="00BA392A" w:rsidRDefault="00BA392A" w:rsidP="00BA392A">
            <w:pPr>
              <w:spacing w:after="0" w:line="240" w:lineRule="auto"/>
              <w:jc w:val="right"/>
              <w:rPr>
                <w:rFonts w:ascii="Arial" w:eastAsia="Times New Roman" w:hAnsi="Arial" w:cs="Arial"/>
                <w:b/>
                <w:bCs/>
                <w:kern w:val="0"/>
                <w:sz w:val="20"/>
                <w:szCs w:val="20"/>
                <w:lang w:eastAsia="en-IN"/>
                <w14:ligatures w14:val="none"/>
              </w:rPr>
            </w:pPr>
            <w:r w:rsidRPr="00BA392A">
              <w:rPr>
                <w:rFonts w:ascii="Arial" w:eastAsia="Times New Roman" w:hAnsi="Arial" w:cs="Arial"/>
                <w:b/>
                <w:bCs/>
                <w:kern w:val="0"/>
                <w:sz w:val="20"/>
                <w:szCs w:val="20"/>
                <w:lang w:eastAsia="en-IN"/>
                <w14:ligatures w14:val="none"/>
              </w:rPr>
              <w:t>27 (BONUS)</w:t>
            </w:r>
          </w:p>
        </w:tc>
        <w:tc>
          <w:tcPr>
            <w:tcW w:w="1480" w:type="dxa"/>
            <w:tcBorders>
              <w:top w:val="nil"/>
              <w:left w:val="nil"/>
              <w:bottom w:val="nil"/>
              <w:right w:val="nil"/>
            </w:tcBorders>
            <w:shd w:val="clear" w:color="auto" w:fill="auto"/>
            <w:noWrap/>
            <w:vAlign w:val="bottom"/>
            <w:hideMark/>
          </w:tcPr>
          <w:p w14:paraId="0E4D90D2" w14:textId="77777777" w:rsidR="00BA392A" w:rsidRPr="00BA392A" w:rsidRDefault="00BA392A" w:rsidP="00BA392A">
            <w:pPr>
              <w:spacing w:after="0" w:line="240" w:lineRule="auto"/>
              <w:rPr>
                <w:rFonts w:ascii="Arial" w:eastAsia="Times New Roman" w:hAnsi="Arial" w:cs="Arial"/>
                <w:kern w:val="0"/>
                <w:sz w:val="20"/>
                <w:szCs w:val="20"/>
                <w:lang w:eastAsia="en-IN"/>
                <w14:ligatures w14:val="none"/>
              </w:rPr>
            </w:pPr>
            <w:r w:rsidRPr="00BA392A">
              <w:rPr>
                <w:rFonts w:ascii="Arial" w:eastAsia="Times New Roman" w:hAnsi="Arial" w:cs="Arial"/>
                <w:kern w:val="0"/>
                <w:sz w:val="20"/>
                <w:szCs w:val="20"/>
                <w:lang w:eastAsia="en-IN"/>
                <w14:ligatures w14:val="none"/>
              </w:rPr>
              <w:t>a</w:t>
            </w:r>
          </w:p>
        </w:tc>
      </w:tr>
    </w:tbl>
    <w:p w14:paraId="49970B3E" w14:textId="77777777" w:rsidR="00BA392A" w:rsidRDefault="00BA392A" w:rsidP="00BA392A"/>
    <w:sectPr w:rsidR="00BA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7549"/>
    <w:multiLevelType w:val="multilevel"/>
    <w:tmpl w:val="9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28E3"/>
    <w:multiLevelType w:val="multilevel"/>
    <w:tmpl w:val="73B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35AF4"/>
    <w:multiLevelType w:val="hybridMultilevel"/>
    <w:tmpl w:val="1578D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30802">
    <w:abstractNumId w:val="1"/>
  </w:num>
  <w:num w:numId="2" w16cid:durableId="2072925446">
    <w:abstractNumId w:val="0"/>
  </w:num>
  <w:num w:numId="3" w16cid:durableId="1958680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01"/>
    <w:rsid w:val="00050C27"/>
    <w:rsid w:val="00403C8C"/>
    <w:rsid w:val="0044705F"/>
    <w:rsid w:val="007600CE"/>
    <w:rsid w:val="0091691E"/>
    <w:rsid w:val="00BA14F9"/>
    <w:rsid w:val="00BA392A"/>
    <w:rsid w:val="00BE5C3C"/>
    <w:rsid w:val="00E07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B638"/>
  <w15:chartTrackingRefBased/>
  <w15:docId w15:val="{6A703A84-9269-4574-8469-04769B0A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90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ljs-builtin">
    <w:name w:val="hljs-built_in"/>
    <w:basedOn w:val="DefaultParagraphFont"/>
    <w:rsid w:val="00050C27"/>
  </w:style>
  <w:style w:type="paragraph" w:styleId="ListParagraph">
    <w:name w:val="List Paragraph"/>
    <w:basedOn w:val="Normal"/>
    <w:uiPriority w:val="34"/>
    <w:qFormat/>
    <w:rsid w:val="00050C27"/>
    <w:pPr>
      <w:ind w:left="720"/>
      <w:contextualSpacing/>
    </w:pPr>
  </w:style>
  <w:style w:type="character" w:styleId="Strong">
    <w:name w:val="Strong"/>
    <w:basedOn w:val="DefaultParagraphFont"/>
    <w:uiPriority w:val="22"/>
    <w:qFormat/>
    <w:rsid w:val="0091691E"/>
    <w:rPr>
      <w:b/>
      <w:bCs/>
    </w:rPr>
  </w:style>
  <w:style w:type="character" w:styleId="Emphasis">
    <w:name w:val="Emphasis"/>
    <w:basedOn w:val="DefaultParagraphFont"/>
    <w:uiPriority w:val="20"/>
    <w:qFormat/>
    <w:rsid w:val="009169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2398">
      <w:bodyDiv w:val="1"/>
      <w:marLeft w:val="0"/>
      <w:marRight w:val="0"/>
      <w:marTop w:val="0"/>
      <w:marBottom w:val="0"/>
      <w:divBdr>
        <w:top w:val="none" w:sz="0" w:space="0" w:color="auto"/>
        <w:left w:val="none" w:sz="0" w:space="0" w:color="auto"/>
        <w:bottom w:val="none" w:sz="0" w:space="0" w:color="auto"/>
        <w:right w:val="none" w:sz="0" w:space="0" w:color="auto"/>
      </w:divBdr>
    </w:div>
    <w:div w:id="339545073">
      <w:bodyDiv w:val="1"/>
      <w:marLeft w:val="0"/>
      <w:marRight w:val="0"/>
      <w:marTop w:val="0"/>
      <w:marBottom w:val="0"/>
      <w:divBdr>
        <w:top w:val="none" w:sz="0" w:space="0" w:color="auto"/>
        <w:left w:val="none" w:sz="0" w:space="0" w:color="auto"/>
        <w:bottom w:val="none" w:sz="0" w:space="0" w:color="auto"/>
        <w:right w:val="none" w:sz="0" w:space="0" w:color="auto"/>
      </w:divBdr>
    </w:div>
    <w:div w:id="402678577">
      <w:bodyDiv w:val="1"/>
      <w:marLeft w:val="0"/>
      <w:marRight w:val="0"/>
      <w:marTop w:val="0"/>
      <w:marBottom w:val="0"/>
      <w:divBdr>
        <w:top w:val="none" w:sz="0" w:space="0" w:color="auto"/>
        <w:left w:val="none" w:sz="0" w:space="0" w:color="auto"/>
        <w:bottom w:val="none" w:sz="0" w:space="0" w:color="auto"/>
        <w:right w:val="none" w:sz="0" w:space="0" w:color="auto"/>
      </w:divBdr>
    </w:div>
    <w:div w:id="1011571087">
      <w:bodyDiv w:val="1"/>
      <w:marLeft w:val="0"/>
      <w:marRight w:val="0"/>
      <w:marTop w:val="0"/>
      <w:marBottom w:val="0"/>
      <w:divBdr>
        <w:top w:val="none" w:sz="0" w:space="0" w:color="auto"/>
        <w:left w:val="none" w:sz="0" w:space="0" w:color="auto"/>
        <w:bottom w:val="none" w:sz="0" w:space="0" w:color="auto"/>
        <w:right w:val="none" w:sz="0" w:space="0" w:color="auto"/>
      </w:divBdr>
    </w:div>
    <w:div w:id="1105272238">
      <w:bodyDiv w:val="1"/>
      <w:marLeft w:val="0"/>
      <w:marRight w:val="0"/>
      <w:marTop w:val="0"/>
      <w:marBottom w:val="0"/>
      <w:divBdr>
        <w:top w:val="none" w:sz="0" w:space="0" w:color="auto"/>
        <w:left w:val="none" w:sz="0" w:space="0" w:color="auto"/>
        <w:bottom w:val="none" w:sz="0" w:space="0" w:color="auto"/>
        <w:right w:val="none" w:sz="0" w:space="0" w:color="auto"/>
      </w:divBdr>
    </w:div>
    <w:div w:id="1277063581">
      <w:bodyDiv w:val="1"/>
      <w:marLeft w:val="0"/>
      <w:marRight w:val="0"/>
      <w:marTop w:val="0"/>
      <w:marBottom w:val="0"/>
      <w:divBdr>
        <w:top w:val="none" w:sz="0" w:space="0" w:color="auto"/>
        <w:left w:val="none" w:sz="0" w:space="0" w:color="auto"/>
        <w:bottom w:val="none" w:sz="0" w:space="0" w:color="auto"/>
        <w:right w:val="none" w:sz="0" w:space="0" w:color="auto"/>
      </w:divBdr>
    </w:div>
    <w:div w:id="1284531004">
      <w:bodyDiv w:val="1"/>
      <w:marLeft w:val="0"/>
      <w:marRight w:val="0"/>
      <w:marTop w:val="0"/>
      <w:marBottom w:val="0"/>
      <w:divBdr>
        <w:top w:val="none" w:sz="0" w:space="0" w:color="auto"/>
        <w:left w:val="none" w:sz="0" w:space="0" w:color="auto"/>
        <w:bottom w:val="none" w:sz="0" w:space="0" w:color="auto"/>
        <w:right w:val="none" w:sz="0" w:space="0" w:color="auto"/>
      </w:divBdr>
    </w:div>
    <w:div w:id="1472553186">
      <w:bodyDiv w:val="1"/>
      <w:marLeft w:val="0"/>
      <w:marRight w:val="0"/>
      <w:marTop w:val="0"/>
      <w:marBottom w:val="0"/>
      <w:divBdr>
        <w:top w:val="none" w:sz="0" w:space="0" w:color="auto"/>
        <w:left w:val="none" w:sz="0" w:space="0" w:color="auto"/>
        <w:bottom w:val="none" w:sz="0" w:space="0" w:color="auto"/>
        <w:right w:val="none" w:sz="0" w:space="0" w:color="auto"/>
      </w:divBdr>
    </w:div>
    <w:div w:id="1629317495">
      <w:bodyDiv w:val="1"/>
      <w:marLeft w:val="0"/>
      <w:marRight w:val="0"/>
      <w:marTop w:val="0"/>
      <w:marBottom w:val="0"/>
      <w:divBdr>
        <w:top w:val="none" w:sz="0" w:space="0" w:color="auto"/>
        <w:left w:val="none" w:sz="0" w:space="0" w:color="auto"/>
        <w:bottom w:val="none" w:sz="0" w:space="0" w:color="auto"/>
        <w:right w:val="none" w:sz="0" w:space="0" w:color="auto"/>
      </w:divBdr>
    </w:div>
    <w:div w:id="1810971470">
      <w:bodyDiv w:val="1"/>
      <w:marLeft w:val="0"/>
      <w:marRight w:val="0"/>
      <w:marTop w:val="0"/>
      <w:marBottom w:val="0"/>
      <w:divBdr>
        <w:top w:val="none" w:sz="0" w:space="0" w:color="auto"/>
        <w:left w:val="none" w:sz="0" w:space="0" w:color="auto"/>
        <w:bottom w:val="none" w:sz="0" w:space="0" w:color="auto"/>
        <w:right w:val="none" w:sz="0" w:space="0" w:color="auto"/>
      </w:divBdr>
    </w:div>
    <w:div w:id="1982422568">
      <w:bodyDiv w:val="1"/>
      <w:marLeft w:val="0"/>
      <w:marRight w:val="0"/>
      <w:marTop w:val="0"/>
      <w:marBottom w:val="0"/>
      <w:divBdr>
        <w:top w:val="none" w:sz="0" w:space="0" w:color="auto"/>
        <w:left w:val="none" w:sz="0" w:space="0" w:color="auto"/>
        <w:bottom w:val="none" w:sz="0" w:space="0" w:color="auto"/>
        <w:right w:val="none" w:sz="0" w:space="0" w:color="auto"/>
      </w:divBdr>
    </w:div>
    <w:div w:id="19966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b6813da77a1ab85/Desktop/FE_535_2023F_Exam_II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64635251497354"/>
          <c:y val="0.19486111111111112"/>
          <c:w val="0.89035364748502643"/>
          <c:h val="0.72125801983085447"/>
        </c:manualLayout>
      </c:layout>
      <c:lineChart>
        <c:grouping val="standard"/>
        <c:varyColors val="0"/>
        <c:ser>
          <c:idx val="0"/>
          <c:order val="0"/>
          <c:spPr>
            <a:ln w="28575" cap="rnd">
              <a:solidFill>
                <a:schemeClr val="accent1"/>
              </a:solidFill>
              <a:round/>
            </a:ln>
            <a:effectLst/>
          </c:spPr>
          <c:marker>
            <c:symbol val="none"/>
          </c:marker>
          <c:val>
            <c:numRef>
              <c:f>'Bond Price'!$D$2:$D$12</c:f>
              <c:numCache>
                <c:formatCode>General</c:formatCode>
                <c:ptCount val="11"/>
                <c:pt idx="0">
                  <c:v>92.278265070815181</c:v>
                </c:pt>
                <c:pt idx="1">
                  <c:v>88.46874126129137</c:v>
                </c:pt>
                <c:pt idx="2">
                  <c:v>84.840623347459172</c:v>
                </c:pt>
                <c:pt idx="3">
                  <c:v>81.385272953333271</c:v>
                </c:pt>
                <c:pt idx="4">
                  <c:v>78.094463054165743</c:v>
                </c:pt>
                <c:pt idx="5">
                  <c:v>74.960358388291908</c:v>
                </c:pt>
                <c:pt idx="6">
                  <c:v>71.975496801745393</c:v>
                </c:pt>
                <c:pt idx="7">
                  <c:v>69.132771481224907</c:v>
                </c:pt>
                <c:pt idx="8">
                  <c:v>66.425414033110158</c:v>
                </c:pt>
                <c:pt idx="9">
                  <c:v>63.846978368238972</c:v>
                </c:pt>
                <c:pt idx="10">
                  <c:v>63.846978368238972</c:v>
                </c:pt>
              </c:numCache>
            </c:numRef>
          </c:val>
          <c:smooth val="0"/>
          <c:extLst>
            <c:ext xmlns:c16="http://schemas.microsoft.com/office/drawing/2014/chart" uri="{C3380CC4-5D6E-409C-BE32-E72D297353CC}">
              <c16:uniqueId val="{00000000-68D5-4A2F-8987-C58A28FC47D3}"/>
            </c:ext>
          </c:extLst>
        </c:ser>
        <c:dLbls>
          <c:showLegendKey val="0"/>
          <c:showVal val="0"/>
          <c:showCatName val="0"/>
          <c:showSerName val="0"/>
          <c:showPercent val="0"/>
          <c:showBubbleSize val="0"/>
        </c:dLbls>
        <c:smooth val="0"/>
        <c:axId val="81292016"/>
        <c:axId val="81292496"/>
      </c:lineChart>
      <c:catAx>
        <c:axId val="81292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92496"/>
        <c:crosses val="autoZero"/>
        <c:auto val="1"/>
        <c:lblAlgn val="ctr"/>
        <c:lblOffset val="100"/>
        <c:noMultiLvlLbl val="0"/>
      </c:catAx>
      <c:valAx>
        <c:axId val="8129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9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2</cp:revision>
  <dcterms:created xsi:type="dcterms:W3CDTF">2024-05-09T15:05:00Z</dcterms:created>
  <dcterms:modified xsi:type="dcterms:W3CDTF">2024-05-10T01:22:00Z</dcterms:modified>
</cp:coreProperties>
</file>