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EB" w:rsidRDefault="005825EB" w:rsidP="005825EB">
      <w:pPr>
        <w:spacing w:before="100" w:beforeAutospacing="1" w:after="100" w:after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Module 2: Chapter 5.</w:t>
      </w:r>
      <w:r w:rsidRPr="005825EB">
        <w:rPr>
          <w:rFonts w:ascii="Times New Roman" w:eastAsia="Times New Roman" w:hAnsi="Times New Roman" w:cs="Times New Roman"/>
          <w:b/>
          <w:bCs/>
          <w:sz w:val="24"/>
          <w:szCs w:val="24"/>
          <w:lang w:val="en-IN"/>
        </w:rPr>
        <w:t xml:space="preserve"> </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Reading and Interpreting the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Ravi’s journey into financial analysis led him to a fundamental financial document: the balance sheet. For investors, this statement reveals a company's financial health, detailing its assets (what it owns), liabilities (what it owes), and shareholders’ equity (the owners' interest). Understanding the balance sheet is key to making sound investment decisions. So, what exactly is a balance sheet, and how should one interpret it?</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5"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What is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Often called the "statement of financial position," a balance sheet offers a snapshot of a company's financial status at a specific moment. Unlike the income or cash flow statements, which cover a period, the balance sheet captures a single day, helping assess a company’s ability to meet obligations and its overall financial health.</w: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Basic Structure of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 xml:space="preserve">The balance sheet </w:t>
      </w:r>
      <w:proofErr w:type="gramStart"/>
      <w:r w:rsidRPr="005825EB">
        <w:rPr>
          <w:rFonts w:ascii="Times New Roman" w:eastAsia="Times New Roman" w:hAnsi="Times New Roman" w:cs="Times New Roman"/>
          <w:sz w:val="24"/>
          <w:szCs w:val="24"/>
          <w:lang w:val="en-IN"/>
        </w:rPr>
        <w:t>is based</w:t>
      </w:r>
      <w:proofErr w:type="gramEnd"/>
      <w:r w:rsidRPr="005825EB">
        <w:rPr>
          <w:rFonts w:ascii="Times New Roman" w:eastAsia="Times New Roman" w:hAnsi="Times New Roman" w:cs="Times New Roman"/>
          <w:sz w:val="24"/>
          <w:szCs w:val="24"/>
          <w:lang w:val="en-IN"/>
        </w:rPr>
        <w:t xml:space="preserve"> on the equation: </w:t>
      </w:r>
      <w:r w:rsidRPr="005825EB">
        <w:rPr>
          <w:rFonts w:ascii="Times New Roman" w:eastAsia="Times New Roman" w:hAnsi="Times New Roman" w:cs="Times New Roman"/>
          <w:b/>
          <w:bCs/>
          <w:sz w:val="24"/>
          <w:szCs w:val="24"/>
          <w:lang w:val="en-IN"/>
        </w:rPr>
        <w:t>Assets = Liabilities + Shareholders’ Equity</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Assets</w:t>
      </w:r>
      <w:r w:rsidRPr="005825EB">
        <w:rPr>
          <w:rFonts w:ascii="Times New Roman" w:eastAsia="Times New Roman" w:hAnsi="Times New Roman" w:cs="Times New Roman"/>
          <w:sz w:val="24"/>
          <w:szCs w:val="24"/>
          <w:lang w:val="en-IN"/>
        </w:rPr>
        <w:t>: These are resources that provide future economic benefits and are categorised as: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Current Assets</w:t>
      </w:r>
      <w:r w:rsidRPr="005825EB">
        <w:rPr>
          <w:rFonts w:ascii="Times New Roman" w:eastAsia="Times New Roman" w:hAnsi="Times New Roman" w:cs="Times New Roman"/>
          <w:sz w:val="24"/>
          <w:szCs w:val="24"/>
          <w:lang w:val="en-IN"/>
        </w:rPr>
        <w:t xml:space="preserve">: Assets that </w:t>
      </w:r>
      <w:proofErr w:type="gramStart"/>
      <w:r w:rsidRPr="005825EB">
        <w:rPr>
          <w:rFonts w:ascii="Times New Roman" w:eastAsia="Times New Roman" w:hAnsi="Times New Roman" w:cs="Times New Roman"/>
          <w:sz w:val="24"/>
          <w:szCs w:val="24"/>
          <w:lang w:val="en-IN"/>
        </w:rPr>
        <w:t>can be converted</w:t>
      </w:r>
      <w:proofErr w:type="gramEnd"/>
      <w:r w:rsidRPr="005825EB">
        <w:rPr>
          <w:rFonts w:ascii="Times New Roman" w:eastAsia="Times New Roman" w:hAnsi="Times New Roman" w:cs="Times New Roman"/>
          <w:sz w:val="24"/>
          <w:szCs w:val="24"/>
          <w:lang w:val="en-IN"/>
        </w:rPr>
        <w:t xml:space="preserve"> into cash within one year, such as cash, receivables, and inventory.</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Non-Current Assets</w:t>
      </w:r>
      <w:r w:rsidRPr="005825EB">
        <w:rPr>
          <w:rFonts w:ascii="Times New Roman" w:eastAsia="Times New Roman" w:hAnsi="Times New Roman" w:cs="Times New Roman"/>
          <w:sz w:val="24"/>
          <w:szCs w:val="24"/>
          <w:lang w:val="en-IN"/>
        </w:rPr>
        <w:t>: Long-term assets like property, equipment, and intangible assets (e.g., patents) crucial for the company’s ongoing operations.</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Liabilities</w:t>
      </w:r>
      <w:r w:rsidRPr="005825EB">
        <w:rPr>
          <w:rFonts w:ascii="Times New Roman" w:eastAsia="Times New Roman" w:hAnsi="Times New Roman" w:cs="Times New Roman"/>
          <w:sz w:val="24"/>
          <w:szCs w:val="24"/>
          <w:lang w:val="en-IN"/>
        </w:rPr>
        <w:t>: Financial obligations, split into:</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Current Liabilities</w:t>
      </w:r>
      <w:r w:rsidRPr="005825EB">
        <w:rPr>
          <w:rFonts w:ascii="Times New Roman" w:eastAsia="Times New Roman" w:hAnsi="Times New Roman" w:cs="Times New Roman"/>
          <w:sz w:val="24"/>
          <w:szCs w:val="24"/>
          <w:lang w:val="en-IN"/>
        </w:rPr>
        <w:t>: Debts due within a year, including accounts payable and short-term loans.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Non-Current Liabilities</w:t>
      </w:r>
      <w:r w:rsidRPr="005825EB">
        <w:rPr>
          <w:rFonts w:ascii="Times New Roman" w:eastAsia="Times New Roman" w:hAnsi="Times New Roman" w:cs="Times New Roman"/>
          <w:sz w:val="24"/>
          <w:szCs w:val="24"/>
          <w:lang w:val="en-IN"/>
        </w:rPr>
        <w:t>: Long-term debts, such as bonds or loans, maturing after one year.</w:t>
      </w:r>
    </w:p>
    <w:p w:rsidR="005825EB" w:rsidRPr="005825EB" w:rsidRDefault="005825EB" w:rsidP="005825EB">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Shareholders’ Equity</w:t>
      </w:r>
      <w:r w:rsidRPr="005825EB">
        <w:rPr>
          <w:rFonts w:ascii="Times New Roman" w:eastAsia="Times New Roman" w:hAnsi="Times New Roman" w:cs="Times New Roman"/>
          <w:sz w:val="24"/>
          <w:szCs w:val="24"/>
          <w:lang w:val="en-IN"/>
        </w:rPr>
        <w:t>: Reflects the net value after deducting liabilities from assets. Key components are:</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Common Stock</w:t>
      </w:r>
      <w:r w:rsidRPr="005825EB">
        <w:rPr>
          <w:rFonts w:ascii="Times New Roman" w:eastAsia="Times New Roman" w:hAnsi="Times New Roman" w:cs="Times New Roman"/>
          <w:sz w:val="24"/>
          <w:szCs w:val="24"/>
          <w:lang w:val="en-IN"/>
        </w:rPr>
        <w:t>: The initial investment by shareholders.</w:t>
      </w:r>
    </w:p>
    <w:p w:rsidR="005825EB" w:rsidRPr="005825EB" w:rsidRDefault="005825EB" w:rsidP="005825EB">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Retained Earnings</w:t>
      </w:r>
      <w:r w:rsidRPr="005825EB">
        <w:rPr>
          <w:rFonts w:ascii="Times New Roman" w:eastAsia="Times New Roman" w:hAnsi="Times New Roman" w:cs="Times New Roman"/>
          <w:sz w:val="24"/>
          <w:szCs w:val="24"/>
          <w:lang w:val="en-IN"/>
        </w:rPr>
        <w:t>: Profits retained by the company rather than distributed as dividends.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6"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How to Read and Analyse a Balance Sheet</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5825EB">
        <w:rPr>
          <w:rFonts w:ascii="Times New Roman" w:eastAsia="Times New Roman" w:hAnsi="Times New Roman" w:cs="Times New Roman"/>
          <w:sz w:val="24"/>
          <w:szCs w:val="24"/>
          <w:lang w:val="en-IN"/>
        </w:rPr>
        <w:t>Here’s</w:t>
      </w:r>
      <w:proofErr w:type="gramEnd"/>
      <w:r w:rsidRPr="005825EB">
        <w:rPr>
          <w:rFonts w:ascii="Times New Roman" w:eastAsia="Times New Roman" w:hAnsi="Times New Roman" w:cs="Times New Roman"/>
          <w:sz w:val="24"/>
          <w:szCs w:val="24"/>
          <w:lang w:val="en-IN"/>
        </w:rPr>
        <w:t xml:space="preserve"> how investors like Ravi can approach balance sheet analysis:</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lastRenderedPageBreak/>
        <w:t>Examine Asset Structure</w:t>
      </w:r>
      <w:r w:rsidRPr="005825EB">
        <w:rPr>
          <w:rFonts w:ascii="Times New Roman" w:eastAsia="Times New Roman" w:hAnsi="Times New Roman" w:cs="Times New Roman"/>
          <w:sz w:val="24"/>
          <w:szCs w:val="24"/>
          <w:lang w:val="en-IN"/>
        </w:rPr>
        <w:t>: A high percentage of current assets indicates liquidity, or the company’s ability to convert assets to cash quickly.</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Assess Liabilities</w:t>
      </w:r>
      <w:r w:rsidRPr="005825EB">
        <w:rPr>
          <w:rFonts w:ascii="Times New Roman" w:eastAsia="Times New Roman" w:hAnsi="Times New Roman" w:cs="Times New Roman"/>
          <w:sz w:val="24"/>
          <w:szCs w:val="24"/>
          <w:lang w:val="en-IN"/>
        </w:rPr>
        <w:t>: Comparing current assets to current liabilities reveals if the company can manage short-term debt. Reviewing long-term debt helps gauge financial stability.</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Review Shareholders' Equity</w:t>
      </w:r>
      <w:r w:rsidRPr="005825EB">
        <w:rPr>
          <w:rFonts w:ascii="Times New Roman" w:eastAsia="Times New Roman" w:hAnsi="Times New Roman" w:cs="Times New Roman"/>
          <w:sz w:val="24"/>
          <w:szCs w:val="24"/>
          <w:lang w:val="en-IN"/>
        </w:rPr>
        <w:t>: Positive equity suggests a healthy financial state, while negative equity can signal distress.</w:t>
      </w:r>
    </w:p>
    <w:p w:rsidR="005825EB" w:rsidRPr="005825EB" w:rsidRDefault="005825EB" w:rsidP="005825EB">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Track Trends</w:t>
      </w:r>
      <w:r w:rsidRPr="005825EB">
        <w:rPr>
          <w:rFonts w:ascii="Times New Roman" w:eastAsia="Times New Roman" w:hAnsi="Times New Roman" w:cs="Times New Roman"/>
          <w:sz w:val="24"/>
          <w:szCs w:val="24"/>
          <w:lang w:val="en-IN"/>
        </w:rPr>
        <w:t>: Comparing balance sheets over time can reveal growth trends or red flags.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097"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Example Balance Sheet Analysis</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5825EB">
        <w:rPr>
          <w:rFonts w:ascii="Times New Roman" w:eastAsia="Times New Roman" w:hAnsi="Times New Roman" w:cs="Times New Roman"/>
          <w:sz w:val="24"/>
          <w:szCs w:val="24"/>
          <w:lang w:val="en-IN"/>
        </w:rPr>
        <w:t>Let’s</w:t>
      </w:r>
      <w:proofErr w:type="gramEnd"/>
      <w:r w:rsidRPr="005825EB">
        <w:rPr>
          <w:rFonts w:ascii="Times New Roman" w:eastAsia="Times New Roman" w:hAnsi="Times New Roman" w:cs="Times New Roman"/>
          <w:sz w:val="24"/>
          <w:szCs w:val="24"/>
          <w:lang w:val="en-IN"/>
        </w:rPr>
        <w:t xml:space="preserve"> analyse the balance sheet of a hypothetical company:</w:t>
      </w:r>
    </w:p>
    <w:p w:rsidR="00F51416" w:rsidRDefault="00F51416">
      <w:pPr>
        <w:spacing w:before="240" w:after="24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1416">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Particulars</w:t>
            </w:r>
          </w:p>
        </w:tc>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Amount</w:t>
            </w:r>
          </w:p>
        </w:tc>
      </w:tr>
      <w:tr w:rsidR="00F51416">
        <w:tc>
          <w:tcPr>
            <w:tcW w:w="4680" w:type="dxa"/>
            <w:tcMar>
              <w:top w:w="100" w:type="dxa"/>
              <w:left w:w="100" w:type="dxa"/>
              <w:bottom w:w="100" w:type="dxa"/>
              <w:right w:w="100" w:type="dxa"/>
            </w:tcMar>
          </w:tcPr>
          <w:p w:rsidR="00F51416" w:rsidRDefault="00B62C52">
            <w:pPr>
              <w:widowControl w:val="0"/>
              <w:spacing w:line="240" w:lineRule="auto"/>
              <w:rPr>
                <w:b/>
              </w:rPr>
            </w:pPr>
            <w:r>
              <w:rPr>
                <w:b/>
              </w:rPr>
              <w:t>Shareholder’s Equity</w:t>
            </w:r>
          </w:p>
        </w:tc>
        <w:tc>
          <w:tcPr>
            <w:tcW w:w="4680" w:type="dxa"/>
            <w:tcMar>
              <w:top w:w="100" w:type="dxa"/>
              <w:left w:w="100" w:type="dxa"/>
              <w:bottom w:w="100" w:type="dxa"/>
              <w:right w:w="100" w:type="dxa"/>
            </w:tcMar>
          </w:tcPr>
          <w:p w:rsidR="00F51416" w:rsidRDefault="00F51416">
            <w:pPr>
              <w:widowControl w:val="0"/>
              <w:spacing w:line="240" w:lineRule="auto"/>
              <w:rPr>
                <w:b/>
              </w:rPr>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Common Stock</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Retained Earnings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1,05,000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Total Equity</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1,15,000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Current 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Accounts Payable</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15,000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Short-term Liabilities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Non-current Liabilities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Long-term loan</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50,000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Total Liabilities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75,000</w:t>
            </w:r>
          </w:p>
        </w:tc>
      </w:tr>
      <w:tr w:rsidR="00F51416">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Total Equity and Liabilities</w:t>
            </w:r>
          </w:p>
        </w:tc>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1,90,000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Current 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Cash</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Accounts Receivable</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20,000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lastRenderedPageBreak/>
              <w:t>Inventory</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50,000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Total Current Assets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80,000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Non-current assets</w:t>
            </w:r>
          </w:p>
        </w:tc>
        <w:tc>
          <w:tcPr>
            <w:tcW w:w="4680" w:type="dxa"/>
            <w:shd w:val="clear" w:color="auto" w:fill="auto"/>
            <w:tcMar>
              <w:top w:w="100" w:type="dxa"/>
              <w:left w:w="100" w:type="dxa"/>
              <w:bottom w:w="100" w:type="dxa"/>
              <w:right w:w="100" w:type="dxa"/>
            </w:tcMar>
          </w:tcPr>
          <w:p w:rsidR="00F51416" w:rsidRDefault="00F51416">
            <w:pPr>
              <w:widowControl w:val="0"/>
              <w:spacing w:line="240" w:lineRule="auto"/>
            </w:pP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Property, Plant and Equipment</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Patents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pPr>
            <w:r>
              <w:t>10,000</w:t>
            </w:r>
          </w:p>
        </w:tc>
      </w:tr>
      <w:tr w:rsidR="00F51416">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Total Non-current Assets</w:t>
            </w:r>
          </w:p>
        </w:tc>
        <w:tc>
          <w:tcPr>
            <w:tcW w:w="4680" w:type="dxa"/>
            <w:shd w:val="clear" w:color="auto" w:fill="auto"/>
            <w:tcMar>
              <w:top w:w="100" w:type="dxa"/>
              <w:left w:w="100" w:type="dxa"/>
              <w:bottom w:w="100" w:type="dxa"/>
              <w:right w:w="100" w:type="dxa"/>
            </w:tcMar>
          </w:tcPr>
          <w:p w:rsidR="00F51416" w:rsidRDefault="00B62C52">
            <w:pPr>
              <w:widowControl w:val="0"/>
              <w:spacing w:line="240" w:lineRule="auto"/>
              <w:rPr>
                <w:b/>
              </w:rPr>
            </w:pPr>
            <w:r>
              <w:rPr>
                <w:b/>
              </w:rPr>
              <w:t>1,10,000</w:t>
            </w:r>
          </w:p>
        </w:tc>
      </w:tr>
      <w:tr w:rsidR="00F51416">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Total Assets</w:t>
            </w:r>
          </w:p>
        </w:tc>
        <w:tc>
          <w:tcPr>
            <w:tcW w:w="4680" w:type="dxa"/>
            <w:shd w:val="clear" w:color="auto" w:fill="F3F3F3"/>
            <w:tcMar>
              <w:top w:w="100" w:type="dxa"/>
              <w:left w:w="100" w:type="dxa"/>
              <w:bottom w:w="100" w:type="dxa"/>
              <w:right w:w="100" w:type="dxa"/>
            </w:tcMar>
          </w:tcPr>
          <w:p w:rsidR="00F51416" w:rsidRDefault="00B62C52">
            <w:pPr>
              <w:widowControl w:val="0"/>
              <w:spacing w:line="240" w:lineRule="auto"/>
              <w:rPr>
                <w:b/>
              </w:rPr>
            </w:pPr>
            <w:r>
              <w:rPr>
                <w:b/>
              </w:rPr>
              <w:t>1,90,000</w:t>
            </w:r>
          </w:p>
        </w:tc>
      </w:tr>
    </w:tbl>
    <w:p w:rsidR="005825EB" w:rsidRPr="005825EB" w:rsidRDefault="00B62C52" w:rsidP="005825EB">
      <w:pPr>
        <w:spacing w:before="100" w:beforeAutospacing="1" w:after="100" w:afterAutospacing="1" w:line="240" w:lineRule="auto"/>
        <w:rPr>
          <w:rFonts w:ascii="Times New Roman" w:eastAsia="Times New Roman" w:hAnsi="Times New Roman" w:cs="Times New Roman"/>
          <w:sz w:val="24"/>
          <w:szCs w:val="24"/>
          <w:lang w:val="en-IN"/>
        </w:rPr>
      </w:pPr>
      <w:bookmarkStart w:id="0" w:name="_h60857ojjkoa" w:colFirst="0" w:colLast="0"/>
      <w:bookmarkEnd w:id="0"/>
      <w:proofErr w:type="gramStart"/>
      <w:r>
        <w:rPr>
          <w:rFonts w:ascii="Times New Roman" w:eastAsia="Times New Roman" w:hAnsi="Times New Roman" w:cs="Times New Roman"/>
          <w:b/>
          <w:bCs/>
          <w:sz w:val="24"/>
          <w:szCs w:val="24"/>
          <w:lang w:val="en-IN"/>
        </w:rPr>
        <w:t>Step-by-Step</w:t>
      </w:r>
      <w:proofErr w:type="gramEnd"/>
      <w:r w:rsidR="005825EB">
        <w:rPr>
          <w:rFonts w:ascii="Times New Roman" w:eastAsia="Times New Roman" w:hAnsi="Times New Roman" w:cs="Times New Roman"/>
          <w:b/>
          <w:bCs/>
          <w:sz w:val="24"/>
          <w:szCs w:val="24"/>
          <w:lang w:val="en-IN"/>
        </w:rPr>
        <w:t xml:space="preserve"> Analysis</w:t>
      </w:r>
      <w:r w:rsidR="005825EB" w:rsidRPr="005825EB">
        <w:rPr>
          <w:rFonts w:ascii="Times New Roman" w:eastAsia="Times New Roman" w:hAnsi="Times New Roman" w:cs="Times New Roman"/>
          <w:sz w:val="24"/>
          <w:szCs w:val="24"/>
          <w:lang w:val="en-IN"/>
        </w:rPr>
        <w:t>:</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Liquidity</w:t>
      </w:r>
      <w:r w:rsidRPr="005825EB">
        <w:rPr>
          <w:rFonts w:ascii="Times New Roman" w:eastAsia="Times New Roman" w:hAnsi="Times New Roman" w:cs="Times New Roman"/>
          <w:sz w:val="24"/>
          <w:szCs w:val="24"/>
          <w:lang w:val="en-IN"/>
        </w:rPr>
        <w:t xml:space="preserve">: The </w:t>
      </w:r>
      <w:proofErr w:type="gramStart"/>
      <w:r w:rsidRPr="005825EB">
        <w:rPr>
          <w:rFonts w:ascii="Times New Roman" w:eastAsia="Times New Roman" w:hAnsi="Times New Roman" w:cs="Times New Roman"/>
          <w:sz w:val="24"/>
          <w:szCs w:val="24"/>
          <w:lang w:val="en-IN"/>
        </w:rPr>
        <w:t>company</w:t>
      </w:r>
      <w:proofErr w:type="gramEnd"/>
      <w:r w:rsidRPr="005825EB">
        <w:rPr>
          <w:rFonts w:ascii="Times New Roman" w:eastAsia="Times New Roman" w:hAnsi="Times New Roman" w:cs="Times New Roman"/>
          <w:sz w:val="24"/>
          <w:szCs w:val="24"/>
          <w:lang w:val="en-IN"/>
        </w:rPr>
        <w:t xml:space="preserve"> has ₹80,000 in current assets, covering ₹25,000 in current liabilities, suggesting good liquidity.</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Long-term Assets</w:t>
      </w:r>
      <w:r w:rsidRPr="005825EB">
        <w:rPr>
          <w:rFonts w:ascii="Times New Roman" w:eastAsia="Times New Roman" w:hAnsi="Times New Roman" w:cs="Times New Roman"/>
          <w:sz w:val="24"/>
          <w:szCs w:val="24"/>
          <w:lang w:val="en-IN"/>
        </w:rPr>
        <w:t>: It has ₹1</w:t>
      </w:r>
      <w:proofErr w:type="gramStart"/>
      <w:r w:rsidRPr="005825EB">
        <w:rPr>
          <w:rFonts w:ascii="Times New Roman" w:eastAsia="Times New Roman" w:hAnsi="Times New Roman" w:cs="Times New Roman"/>
          <w:sz w:val="24"/>
          <w:szCs w:val="24"/>
          <w:lang w:val="en-IN"/>
        </w:rPr>
        <w:t>,10,000</w:t>
      </w:r>
      <w:proofErr w:type="gramEnd"/>
      <w:r w:rsidRPr="005825EB">
        <w:rPr>
          <w:rFonts w:ascii="Times New Roman" w:eastAsia="Times New Roman" w:hAnsi="Times New Roman" w:cs="Times New Roman"/>
          <w:sz w:val="24"/>
          <w:szCs w:val="24"/>
          <w:lang w:val="en-IN"/>
        </w:rPr>
        <w:t xml:space="preserve"> in non-current assets, reflecting investment in sustained operations.</w:t>
      </w:r>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Debt</w:t>
      </w:r>
      <w:r w:rsidRPr="005825EB">
        <w:rPr>
          <w:rFonts w:ascii="Times New Roman" w:eastAsia="Times New Roman" w:hAnsi="Times New Roman" w:cs="Times New Roman"/>
          <w:sz w:val="24"/>
          <w:szCs w:val="24"/>
          <w:lang w:val="en-IN"/>
        </w:rPr>
        <w:t>: The long-term loan of ₹50,000 is manageable given the company’s strong asset base.</w:t>
      </w:r>
      <w:bookmarkStart w:id="1" w:name="_GoBack"/>
      <w:bookmarkEnd w:id="1"/>
    </w:p>
    <w:p w:rsidR="005825EB" w:rsidRPr="005825EB" w:rsidRDefault="005825EB" w:rsidP="005825EB">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b/>
          <w:bCs/>
          <w:sz w:val="24"/>
          <w:szCs w:val="24"/>
          <w:lang w:val="en-IN"/>
        </w:rPr>
        <w:t>Equity</w:t>
      </w:r>
      <w:r w:rsidRPr="005825EB">
        <w:rPr>
          <w:rFonts w:ascii="Times New Roman" w:eastAsia="Times New Roman" w:hAnsi="Times New Roman" w:cs="Times New Roman"/>
          <w:sz w:val="24"/>
          <w:szCs w:val="24"/>
          <w:lang w:val="en-IN"/>
        </w:rPr>
        <w:t>: With ₹1</w:t>
      </w:r>
      <w:proofErr w:type="gramStart"/>
      <w:r w:rsidRPr="005825EB">
        <w:rPr>
          <w:rFonts w:ascii="Times New Roman" w:eastAsia="Times New Roman" w:hAnsi="Times New Roman" w:cs="Times New Roman"/>
          <w:sz w:val="24"/>
          <w:szCs w:val="24"/>
          <w:lang w:val="en-IN"/>
        </w:rPr>
        <w:t>,15,000</w:t>
      </w:r>
      <w:proofErr w:type="gramEnd"/>
      <w:r w:rsidRPr="005825EB">
        <w:rPr>
          <w:rFonts w:ascii="Times New Roman" w:eastAsia="Times New Roman" w:hAnsi="Times New Roman" w:cs="Times New Roman"/>
          <w:sz w:val="24"/>
          <w:szCs w:val="24"/>
          <w:lang w:val="en-IN"/>
        </w:rPr>
        <w:t xml:space="preserve"> in equity, including ₹1,05,000 in retained earnings, the company has been profitable and retains substantial earnings.</w:t>
      </w:r>
    </w:p>
    <w:p w:rsidR="005825EB" w:rsidRPr="005825EB" w:rsidRDefault="005825EB" w:rsidP="005825EB">
      <w:pPr>
        <w:spacing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pict>
          <v:rect id="_x0000_i1123" style="width:0;height:1.5pt" o:hralign="center" o:hrstd="t" o:hr="t" fillcolor="#a0a0a0" stroked="f"/>
        </w:pict>
      </w:r>
    </w:p>
    <w:p w:rsidR="005825EB" w:rsidRPr="005825EB" w:rsidRDefault="005825EB" w:rsidP="005825EB">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5825EB">
        <w:rPr>
          <w:rFonts w:ascii="Times New Roman" w:eastAsia="Times New Roman" w:hAnsi="Times New Roman" w:cs="Times New Roman"/>
          <w:b/>
          <w:bCs/>
          <w:sz w:val="27"/>
          <w:szCs w:val="27"/>
          <w:lang w:val="en-IN"/>
        </w:rPr>
        <w:t>Conclusion</w:t>
      </w:r>
    </w:p>
    <w:p w:rsidR="005825EB" w:rsidRPr="005825EB" w:rsidRDefault="005825EB" w:rsidP="005825EB">
      <w:pPr>
        <w:spacing w:before="100" w:beforeAutospacing="1" w:after="100" w:afterAutospacing="1" w:line="240" w:lineRule="auto"/>
        <w:rPr>
          <w:rFonts w:ascii="Times New Roman" w:eastAsia="Times New Roman" w:hAnsi="Times New Roman" w:cs="Times New Roman"/>
          <w:sz w:val="24"/>
          <w:szCs w:val="24"/>
          <w:lang w:val="en-IN"/>
        </w:rPr>
      </w:pPr>
      <w:r w:rsidRPr="005825EB">
        <w:rPr>
          <w:rFonts w:ascii="Times New Roman" w:eastAsia="Times New Roman" w:hAnsi="Times New Roman" w:cs="Times New Roman"/>
          <w:sz w:val="24"/>
          <w:szCs w:val="24"/>
          <w:lang w:val="en-IN"/>
        </w:rPr>
        <w:t xml:space="preserve">Through understanding the balance sheet, Ravi can now assess a company's liquidity, solvency, and overall financial position. In the following chapter, </w:t>
      </w:r>
      <w:proofErr w:type="gramStart"/>
      <w:r w:rsidRPr="005825EB">
        <w:rPr>
          <w:rFonts w:ascii="Times New Roman" w:eastAsia="Times New Roman" w:hAnsi="Times New Roman" w:cs="Times New Roman"/>
          <w:sz w:val="24"/>
          <w:szCs w:val="24"/>
          <w:lang w:val="en-IN"/>
        </w:rPr>
        <w:t>we’ll</w:t>
      </w:r>
      <w:proofErr w:type="gramEnd"/>
      <w:r w:rsidRPr="005825EB">
        <w:rPr>
          <w:rFonts w:ascii="Times New Roman" w:eastAsia="Times New Roman" w:hAnsi="Times New Roman" w:cs="Times New Roman"/>
          <w:sz w:val="24"/>
          <w:szCs w:val="24"/>
          <w:lang w:val="en-IN"/>
        </w:rPr>
        <w:t xml:space="preserve"> examine the income statement, which details a company’s profitability over time, adding depth to financial analysis.</w:t>
      </w:r>
    </w:p>
    <w:p w:rsidR="00F51416" w:rsidRDefault="00F51416">
      <w:pPr>
        <w:spacing w:before="240" w:after="240"/>
      </w:pPr>
    </w:p>
    <w:sectPr w:rsidR="00F51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32CC"/>
    <w:multiLevelType w:val="multilevel"/>
    <w:tmpl w:val="E61A00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422F06"/>
    <w:multiLevelType w:val="multilevel"/>
    <w:tmpl w:val="5A22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81B4E"/>
    <w:multiLevelType w:val="multilevel"/>
    <w:tmpl w:val="8454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46970"/>
    <w:multiLevelType w:val="multilevel"/>
    <w:tmpl w:val="525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1579A"/>
    <w:multiLevelType w:val="multilevel"/>
    <w:tmpl w:val="DCBC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1C5CA0"/>
    <w:multiLevelType w:val="multilevel"/>
    <w:tmpl w:val="3C8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16"/>
    <w:rsid w:val="005825EB"/>
    <w:rsid w:val="00B62C52"/>
    <w:rsid w:val="00F5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D5A"/>
  <w15:docId w15:val="{E5BD2BE0-B6F4-430E-BE1F-A23DF8B5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4965">
      <w:bodyDiv w:val="1"/>
      <w:marLeft w:val="0"/>
      <w:marRight w:val="0"/>
      <w:marTop w:val="0"/>
      <w:marBottom w:val="0"/>
      <w:divBdr>
        <w:top w:val="none" w:sz="0" w:space="0" w:color="auto"/>
        <w:left w:val="none" w:sz="0" w:space="0" w:color="auto"/>
        <w:bottom w:val="none" w:sz="0" w:space="0" w:color="auto"/>
        <w:right w:val="none" w:sz="0" w:space="0" w:color="auto"/>
      </w:divBdr>
    </w:div>
    <w:div w:id="850417135">
      <w:bodyDiv w:val="1"/>
      <w:marLeft w:val="0"/>
      <w:marRight w:val="0"/>
      <w:marTop w:val="0"/>
      <w:marBottom w:val="0"/>
      <w:divBdr>
        <w:top w:val="none" w:sz="0" w:space="0" w:color="auto"/>
        <w:left w:val="none" w:sz="0" w:space="0" w:color="auto"/>
        <w:bottom w:val="none" w:sz="0" w:space="0" w:color="auto"/>
        <w:right w:val="none" w:sz="0" w:space="0" w:color="auto"/>
      </w:divBdr>
    </w:div>
    <w:div w:id="1293174539">
      <w:bodyDiv w:val="1"/>
      <w:marLeft w:val="0"/>
      <w:marRight w:val="0"/>
      <w:marTop w:val="0"/>
      <w:marBottom w:val="0"/>
      <w:divBdr>
        <w:top w:val="none" w:sz="0" w:space="0" w:color="auto"/>
        <w:left w:val="none" w:sz="0" w:space="0" w:color="auto"/>
        <w:bottom w:val="none" w:sz="0" w:space="0" w:color="auto"/>
        <w:right w:val="none" w:sz="0" w:space="0" w:color="auto"/>
      </w:divBdr>
    </w:div>
    <w:div w:id="166142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nagvekar (Marketing, KSL)</cp:lastModifiedBy>
  <cp:revision>3</cp:revision>
  <dcterms:created xsi:type="dcterms:W3CDTF">2024-10-28T04:18:00Z</dcterms:created>
  <dcterms:modified xsi:type="dcterms:W3CDTF">2024-10-28T04:21:00Z</dcterms:modified>
</cp:coreProperties>
</file>