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8901"/>
      </w:tblGrid>
      <w:tr>
        <w:trPr>
          <w:cantSplit w:val="true"/>
        </w:trPr>
        <w:tc>
          <w:tcPr>
            <w:tcW w:type="dxa" w:w="8901"/>
            <w:vAlign w:val="top"/>
            <w:shd w:val="clear" w:color="auto" w:fill="F4F2EC"/>
          </w:tcPr>
          <w:p>
            <w:pPr>
              <w:keepNext w:val="0"/>
              <w:spacing w:after="40" w:before="20" w:line="252" w:lineRule="auto"/>
              <w:jc w:val="left"/>
            </w:pPr>
            <w:r>
              <w:rPr>
                <w:smallCaps/>
                <w:sz w:val="18"/>
              </w:rPr>
              <w:t>Stamp duty</w:t>
            </w:r>
            <w:r>
              <w:rPr>
                <w:sz w:val="18"/>
              </w:rPr>
              <w:t xml:space="preserve">: e-Stamp Certificate No. </w:t>
            </w:r>
            <w:r>
              <w:rPr>
                <w:sz w:val="18"/>
              </w:rPr>
              <w:t>{{estamp_certificate_no}}</w:t>
            </w:r>
            <w:r>
              <w:rPr>
                <w:sz w:val="18"/>
              </w:rPr>
              <w:t xml:space="preserve"> dated </w:t>
            </w:r>
            <w:r>
              <w:rPr>
                <w:sz w:val="18"/>
              </w:rPr>
              <w:t>{{estamp_date}}</w:t>
            </w:r>
            <w:r>
              <w:rPr>
                <w:sz w:val="18"/>
              </w:rPr>
              <w:t xml:space="preserve"> for Rs. </w:t>
            </w:r>
            <w:r>
              <w:rPr>
                <w:sz w:val="18"/>
              </w:rPr>
              <w:t>{{stamp_duty_amount}}</w:t>
            </w:r>
            <w:r>
              <w:rPr>
                <w:sz w:val="18"/>
              </w:rPr>
              <w:t xml:space="preserve">/-, issued under </w:t>
            </w:r>
            <w:r>
              <w:rPr>
                <w:sz w:val="18"/>
              </w:rPr>
              <w:t>{{stamp_act_name}}</w:t>
            </w:r>
            <w:r>
              <w:rPr>
                <w:sz w:val="18"/>
              </w:rPr>
              <w:t xml:space="preserve">. Duty borne by </w:t>
            </w:r>
            <w:r>
              <w:rPr>
                <w:sz w:val="18"/>
              </w:rPr>
              <w:t>{{stamp_duty_borne_by}}</w:t>
            </w:r>
            <w:r>
              <w:rPr>
                <w:sz w:val="18"/>
              </w:rPr>
              <w:t>.</w:t>
            </w:r>
          </w:p>
        </w:tc>
      </w:tr>
    </w:tbl>
    <w:p>
      <w:pPr>
        <w:spacing w:before="280" w:after="0"/>
        <w:jc w:val="center"/>
      </w:pPr>
      <w:r>
        <w:rPr>
          <w:b/>
          <w:smallCaps/>
          <w:sz w:val="34"/>
        </w:rPr>
        <w:t>Settlement Agreement</w:t>
      </w:r>
    </w:p>
    <w:p>
      <w:pPr>
        <w:spacing w:after="40"/>
        <w:jc w:val="center"/>
      </w:pPr>
      <w:r>
        <w:rPr>
          <w:i/>
          <w:sz w:val="22"/>
        </w:rPr>
        <w:t>Mediated Settlement and Deed of Compromise (One-Time Settlement)</w:t>
      </w:r>
    </w:p>
    <w:p>
      <w:pPr>
        <w:spacing w:after="0"/>
        <w:jc w:val="center"/>
      </w:pPr>
      <w:r>
        <w:rPr>
          <w:sz w:val="21"/>
        </w:rPr>
        <w:t xml:space="preserve">Ref. </w:t>
      </w:r>
      <w:r>
        <w:rPr>
          <w:sz w:val="21"/>
        </w:rPr>
        <w:t>{{case_ref_no}}</w:t>
      </w:r>
      <w:r>
        <w:rPr>
          <w:sz w:val="21"/>
        </w:rPr>
        <w:t xml:space="preserve">  ·  </w:t>
      </w:r>
      <w:r>
        <w:rPr>
          <w:sz w:val="21"/>
        </w:rPr>
        <w:t>{{facility_type_label}}</w:t>
      </w:r>
      <w:r>
        <w:rPr>
          <w:sz w:val="21"/>
        </w:rPr>
        <w:t xml:space="preserve"> Account No. </w:t>
      </w:r>
      <w:r>
        <w:rPr>
          <w:sz w:val="21"/>
        </w:rPr>
        <w:t>{{account_no}}</w:t>
      </w:r>
    </w:p>
    <w:p>
      <w:pPr>
        <w:pStyle w:val="TemplateDirective"/>
      </w:pPr>
      <w:r>
        <w:t>[[IF arbitration_pending]]</w:t>
      </w:r>
    </w:p>
    <w:p>
      <w:pPr>
        <w:spacing w:after="0"/>
        <w:jc w:val="center"/>
      </w:pPr>
      <w:r>
        <w:rPr>
          <w:i/>
          <w:sz w:val="21"/>
        </w:rPr>
        <w:t xml:space="preserve">arising in Arbitration Case No. </w:t>
      </w:r>
      <w:r>
        <w:rPr>
          <w:i/>
          <w:sz w:val="21"/>
        </w:rPr>
        <w:t>{{arbitration_case_no}}</w:t>
      </w:r>
      <w:r>
        <w:rPr>
          <w:i/>
          <w:sz w:val="21"/>
        </w:rPr>
        <w:t xml:space="preserve"> before </w:t>
      </w:r>
      <w:r>
        <w:rPr>
          <w:i/>
          <w:sz w:val="21"/>
        </w:rPr>
        <w:t>{{arbitrator_name}}</w:t>
      </w:r>
      <w:r>
        <w:rPr>
          <w:i/>
          <w:sz w:val="21"/>
        </w:rPr>
        <w:t xml:space="preserve">, Sole Arbitrator (seat: </w:t>
      </w:r>
      <w:r>
        <w:rPr>
          <w:i/>
          <w:sz w:val="21"/>
        </w:rPr>
        <w:t>{{seat_city}}</w:t>
      </w:r>
      <w:r>
        <w:rPr>
          <w:i/>
          <w:sz w:val="21"/>
        </w:rPr>
        <w:t>)</w:t>
      </w:r>
    </w:p>
    <w:p>
      <w:pPr>
        <w:pStyle w:val="TemplateDirective"/>
      </w:pPr>
      <w:r>
        <w:t>[[END]]</w:t>
      </w:r>
    </w:p>
    <w:p>
      <w:pPr>
        <w:pBdr>
          <w:bottom w:val="single" w:sz="8" w:space="6" w:color="000000"/>
        </w:pBdr>
        <w:spacing w:after="200"/>
      </w:pPr>
    </w:p>
    <w:p>
      <w:pPr>
        <w:spacing w:after="120"/>
      </w:pPr>
      <w:r>
        <w:rPr/>
        <w:t>This Settlement Agreement (the “</w:t>
      </w:r>
      <w:r>
        <w:rPr>
          <w:b/>
        </w:rPr>
        <w:t>Agreement</w:t>
      </w:r>
      <w:r>
        <w:rPr/>
        <w:t xml:space="preserve">”) is made at </w:t>
      </w:r>
      <w:r>
        <w:rPr/>
        <w:t>{{execution_place}}</w:t>
      </w:r>
      <w:r>
        <w:rPr/>
        <w:t xml:space="preserve"> on </w:t>
      </w:r>
      <w:r>
        <w:rPr/>
        <w:t>{{execution_date}}</w:t>
      </w:r>
      <w:r>
        <w:rPr/>
        <w:t xml:space="preserve"> (the “</w:t>
      </w:r>
      <w:r>
        <w:rPr>
          <w:b/>
        </w:rPr>
        <w:t>Execution Date</w:t>
      </w:r>
      <w:r>
        <w:rPr/>
        <w:t>”).</w:t>
      </w:r>
    </w:p>
    <w:p>
      <w:pPr>
        <w:keepNext/>
        <w:spacing w:after="80"/>
        <w:jc w:val="left"/>
      </w:pPr>
      <w:r>
        <w:rPr>
          <w:b/>
          <w:smallCaps/>
        </w:rPr>
        <w:t>Between</w:t>
      </w:r>
    </w:p>
    <w:p>
      <w:pPr>
        <w:numPr>
          <w:ilvl w:val="0"/>
          <w:numId w:val="82"/>
        </w:numPr>
      </w:pPr>
      <w:r>
        <w:rPr>
          <w:b/>
        </w:rPr>
        <w:t>{{lender_name}}</w:t>
      </w:r>
      <w:r>
        <w:rPr/>
        <w:t xml:space="preserve">, </w:t>
      </w:r>
      <w:r>
        <w:rPr/>
        <w:t>{{lender_entity_description}}</w:t>
      </w:r>
      <w:r>
        <w:rPr/>
        <w:t xml:space="preserve">, CIN </w:t>
      </w:r>
      <w:r>
        <w:rPr/>
        <w:t>{{lender_cin}}</w:t>
      </w:r>
      <w:r>
        <w:rPr/>
        <w:t xml:space="preserve">, having its registered office at </w:t>
      </w:r>
      <w:r>
        <w:rPr/>
        <w:t>{{lender_registered_office}}</w:t>
      </w:r>
      <w:r>
        <w:rPr/>
        <w:t xml:space="preserve">, acting through its </w:t>
      </w:r>
      <w:r>
        <w:rPr/>
        <w:t>{{lender_unit}}</w:t>
      </w:r>
      <w:r>
        <w:rPr/>
        <w:t xml:space="preserve"> at </w:t>
      </w:r>
      <w:r>
        <w:rPr/>
        <w:t>{{lender_unit_address}}</w:t>
      </w:r>
      <w:r>
        <w:rPr/>
        <w:t xml:space="preserve"> and represented by its authorised signatory </w:t>
      </w:r>
      <w:r>
        <w:rPr/>
        <w:t>{{lender_signatory_name}}</w:t>
      </w:r>
      <w:r>
        <w:rPr/>
        <w:t xml:space="preserve">, </w:t>
      </w:r>
      <w:r>
        <w:rPr/>
        <w:t>{{lender_signatory_designation}}</w:t>
      </w:r>
      <w:r>
        <w:rPr/>
        <w:t xml:space="preserve">, who is duly authorised by </w:t>
      </w:r>
      <w:r>
        <w:rPr/>
        <w:t>{{lender_authority_document}}</w:t>
      </w:r>
      <w:r>
        <w:rPr/>
        <w:t xml:space="preserve"> dated </w:t>
      </w:r>
      <w:r>
        <w:rPr/>
        <w:t>{{lender_authority_date}}</w:t>
      </w:r>
      <w:r>
        <w:rPr/>
        <w:t xml:space="preserve"> (the “</w:t>
      </w:r>
      <w:r>
        <w:rPr>
          <w:b/>
        </w:rPr>
        <w:t>Lender</w:t>
      </w:r>
      <w:r>
        <w:rPr/>
        <w:t>”, which expression includes its successors and assigns);</w:t>
      </w:r>
    </w:p>
    <w:p>
      <w:pPr>
        <w:keepNext/>
        <w:spacing w:after="80"/>
        <w:jc w:val="center"/>
      </w:pPr>
      <w:r>
        <w:rPr>
          <w:smallCaps/>
        </w:rPr>
        <w:t>and</w:t>
      </w:r>
    </w:p>
    <w:p>
      <w:pPr>
        <w:numPr>
          <w:ilvl w:val="0"/>
          <w:numId w:val="82"/>
        </w:numPr>
      </w:pPr>
      <w:r>
        <w:rPr>
          <w:b/>
        </w:rPr>
        <w:t>{{borrower_name}}</w:t>
      </w:r>
      <w:r>
        <w:rPr/>
        <w:t xml:space="preserve">, aged about </w:t>
      </w:r>
      <w:r>
        <w:rPr/>
        <w:t>{{borrower_age}}</w:t>
      </w:r>
      <w:r>
        <w:rPr/>
        <w:t xml:space="preserve"> years, residing at </w:t>
      </w:r>
      <w:r>
        <w:rPr/>
        <w:t>{{borrower_address}}</w:t>
      </w:r>
      <w:r>
        <w:rPr/>
        <w:t xml:space="preserve">, holding PAN </w:t>
      </w:r>
      <w:r>
        <w:rPr/>
        <w:t>{{borrower_pan}}</w:t>
      </w:r>
      <w:r>
        <w:rPr/>
        <w:t xml:space="preserve"> and Aadhaar No. XXXX-XXXX-</w:t>
      </w:r>
      <w:r>
        <w:rPr/>
        <w:t>{{borrower_aadhaar_last4}}</w:t>
      </w:r>
      <w:r>
        <w:rPr/>
        <w:t xml:space="preserve"> (masked), mobile </w:t>
      </w:r>
      <w:r>
        <w:rPr/>
        <w:t>{{borrower_mobile}}</w:t>
      </w:r>
      <w:r>
        <w:rPr/>
        <w:t xml:space="preserve">, e-mail </w:t>
      </w:r>
      <w:r>
        <w:rPr/>
        <w:t>{{borrower_email}}</w:t>
      </w:r>
      <w:r>
        <w:rPr/>
        <w:t xml:space="preserve"> (the “</w:t>
      </w:r>
      <w:r>
        <w:rPr>
          <w:b/>
        </w:rPr>
        <w:t>Borrower</w:t>
      </w:r>
      <w:r>
        <w:rPr/>
        <w:t>”, which expression includes the Borrower’s heirs, executors, administrators and legal representatives);</w:t>
      </w:r>
    </w:p>
    <w:p>
      <w:pPr>
        <w:pStyle w:val="TemplateDirective"/>
      </w:pPr>
      <w:r>
        <w:t>[[REPEAT obligors]]</w:t>
      </w:r>
    </w:p>
    <w:p>
      <w:pPr>
        <w:keepNext/>
        <w:spacing w:after="80"/>
        <w:jc w:val="center"/>
      </w:pPr>
      <w:r>
        <w:rPr>
          <w:smallCaps/>
        </w:rPr>
        <w:t>and</w:t>
      </w:r>
    </w:p>
    <w:p>
      <w:pPr>
        <w:numPr>
          <w:ilvl w:val="0"/>
          <w:numId w:val="82"/>
        </w:numPr>
      </w:pPr>
      <w:r>
        <w:rPr>
          <w:b/>
        </w:rPr>
        <w:t>{{obligor_name}}</w:t>
      </w:r>
      <w:r>
        <w:rPr/>
        <w:t xml:space="preserve">, the </w:t>
      </w:r>
      <w:r>
        <w:rPr/>
        <w:t>{{obligor_capacity}}</w:t>
      </w:r>
      <w:r>
        <w:rPr/>
        <w:t xml:space="preserve">, aged about </w:t>
      </w:r>
      <w:r>
        <w:rPr/>
        <w:t>{{obligor_age}}</w:t>
      </w:r>
      <w:r>
        <w:rPr/>
        <w:t xml:space="preserve"> years, residing at </w:t>
      </w:r>
      <w:r>
        <w:rPr/>
        <w:t>{{obligor_address}}</w:t>
      </w:r>
      <w:r>
        <w:rPr/>
        <w:t xml:space="preserve">, holding PAN </w:t>
      </w:r>
      <w:r>
        <w:rPr/>
        <w:t>{{obligor_pan}}</w:t>
      </w:r>
      <w:r>
        <w:rPr/>
        <w:t xml:space="preserve"> and Aadhaar No. XXXX-XXXX-</w:t>
      </w:r>
      <w:r>
        <w:rPr/>
        <w:t>{{obligor_aadhaar_last4}}</w:t>
      </w:r>
      <w:r>
        <w:rPr/>
        <w:t xml:space="preserve"> (masked), mobile </w:t>
      </w:r>
      <w:r>
        <w:rPr/>
        <w:t>{{obligor_mobile}}</w:t>
      </w:r>
      <w:r>
        <w:rPr/>
        <w:t xml:space="preserve">, e-mail </w:t>
      </w:r>
      <w:r>
        <w:rPr/>
        <w:t>{{obligor_email}}</w:t>
      </w:r>
      <w:r>
        <w:rPr/>
        <w:t xml:space="preserve"> (a “</w:t>
      </w:r>
      <w:r>
        <w:rPr>
          <w:b/>
        </w:rPr>
        <w:t>Co-Obligor</w:t>
      </w:r>
      <w:r>
        <w:rPr/>
        <w:t>”, which expression includes that person’s heirs, executors, administrators and legal representatives);</w:t>
      </w:r>
    </w:p>
    <w:p>
      <w:pPr>
        <w:pStyle w:val="TemplateDirective"/>
      </w:pPr>
      <w:r>
        <w:t>[[END_REPEAT]]</w:t>
      </w:r>
    </w:p>
    <w:p>
      <w:pPr>
        <w:spacing w:after="160"/>
      </w:pPr>
      <w:r>
        <w:rPr/>
        <w:t>The Borrower and each Co-Obligor are together the “</w:t>
      </w:r>
      <w:r>
        <w:rPr>
          <w:b/>
        </w:rPr>
        <w:t>Obligors</w:t>
      </w:r>
      <w:r>
        <w:rPr/>
        <w:t>”, and their obligations under this Agreement are joint and several. The Lender and the Obligors are each a “</w:t>
      </w:r>
      <w:r>
        <w:rPr>
          <w:b/>
        </w:rPr>
        <w:t>Party</w:t>
      </w:r>
      <w:r>
        <w:rPr/>
        <w:t>” and together the “</w:t>
      </w:r>
      <w:r>
        <w:rPr>
          <w:b/>
        </w:rPr>
        <w:t>Parties</w:t>
      </w:r>
      <w:r>
        <w:rPr/>
        <w:t>”.</w:t>
      </w:r>
    </w:p>
    <w:p>
      <w:pPr>
        <w:keepNext/>
        <w:spacing w:after="80"/>
        <w:jc w:val="left"/>
      </w:pPr>
      <w:r>
        <w:rPr>
          <w:b/>
          <w:smallCaps/>
        </w:rPr>
        <w:t>Recitals</w:t>
      </w:r>
    </w:p>
    <w:p>
      <w:pPr>
        <w:numPr>
          <w:ilvl w:val="0"/>
          <w:numId w:val="81"/>
        </w:numPr>
      </w:pPr>
      <w:r>
        <w:rPr/>
        <w:t xml:space="preserve">At the Borrower’s request, the Lender granted a </w:t>
      </w:r>
      <w:r>
        <w:rPr/>
        <w:t>{{facility_type_label}}</w:t>
      </w:r>
      <w:r>
        <w:rPr/>
        <w:t xml:space="preserve"> under the </w:t>
      </w:r>
      <w:r>
        <w:rPr/>
        <w:t>{{agreement_title}}</w:t>
      </w:r>
      <w:r>
        <w:rPr/>
        <w:t xml:space="preserve"> dated </w:t>
      </w:r>
      <w:r>
        <w:rPr/>
        <w:t>{{agreement_date}}</w:t>
      </w:r>
      <w:r>
        <w:rPr/>
        <w:t xml:space="preserve">, bearing Account No. </w:t>
      </w:r>
      <w:r>
        <w:rPr/>
        <w:t>{{account_no}}</w:t>
      </w:r>
      <w:r>
        <w:rPr/>
        <w:t xml:space="preserve"> (the “</w:t>
      </w:r>
      <w:r>
        <w:rPr>
          <w:b/>
        </w:rPr>
        <w:t>Facility</w:t>
      </w:r>
      <w:r>
        <w:rPr/>
        <w:t>”).</w:t>
      </w:r>
    </w:p>
    <w:p>
      <w:pPr>
        <w:pStyle w:val="TemplateDirective"/>
      </w:pPr>
      <w:r>
        <w:t>[[IF secured_loan]]</w:t>
      </w:r>
    </w:p>
    <w:p>
      <w:pPr>
        <w:numPr>
          <w:ilvl w:val="0"/>
          <w:numId w:val="81"/>
        </w:numPr>
      </w:pPr>
      <w:r>
        <w:rPr/>
        <w:t xml:space="preserve">The Facility is secured by </w:t>
      </w:r>
      <w:r>
        <w:rPr/>
        <w:t>{{security_description}}</w:t>
      </w:r>
      <w:r>
        <w:rPr/>
        <w:t xml:space="preserve"> (the “</w:t>
      </w:r>
      <w:r>
        <w:rPr>
          <w:b/>
        </w:rPr>
        <w:t>Security</w:t>
      </w:r>
      <w:r>
        <w:rPr/>
        <w:t>”), the original documents of which are held by the Lender.</w:t>
      </w:r>
    </w:p>
    <w:p>
      <w:pPr>
        <w:pStyle w:val="TemplateDirective"/>
      </w:pPr>
      <w:r>
        <w:t>[[END]]</w:t>
      </w:r>
    </w:p>
    <w:p>
      <w:pPr>
        <w:numPr>
          <w:ilvl w:val="0"/>
          <w:numId w:val="81"/>
        </w:numPr>
      </w:pPr>
      <w:r>
        <w:rPr/>
        <w:t xml:space="preserve">The Obligors defaulted in repaying the Facility, and the Facility account was classified as a non-performing asset on </w:t>
      </w:r>
      <w:r>
        <w:rPr/>
        <w:t>{{npa_date}}</w:t>
      </w:r>
      <w:r>
        <w:rPr/>
        <w:t xml:space="preserve">. As on </w:t>
      </w:r>
      <w:r>
        <w:rPr/>
        <w:t>{{outstanding_as_on_date}}</w:t>
      </w:r>
      <w:r>
        <w:rPr/>
        <w:t xml:space="preserve">, a sum of </w:t>
      </w:r>
      <w:r>
        <w:rPr>
          <w:b/>
        </w:rPr>
        <w:t xml:space="preserve">Rs. </w:t>
      </w:r>
      <w:r>
        <w:rPr>
          <w:b/>
        </w:rPr>
        <w:t>{{total_outstanding}}</w:t>
      </w:r>
      <w:r>
        <w:rPr>
          <w:b/>
        </w:rPr>
        <w:t xml:space="preserve">/- (Rupees </w:t>
      </w:r>
      <w:r>
        <w:rPr>
          <w:b/>
        </w:rPr>
        <w:t>{{total_outstanding_words}}</w:t>
      </w:r>
      <w:r>
        <w:rPr>
          <w:b/>
        </w:rPr>
        <w:t xml:space="preserve"> Only)</w:t>
      </w:r>
      <w:r>
        <w:rPr/>
        <w:t xml:space="preserve"> was outstanding under the Facility, made up of principal of Rs. </w:t>
      </w:r>
      <w:r>
        <w:rPr/>
        <w:t>{{principal_outstanding}}</w:t>
      </w:r>
      <w:r>
        <w:rPr/>
        <w:t xml:space="preserve">/- and interest and charges of Rs. </w:t>
      </w:r>
      <w:r>
        <w:rPr/>
        <w:t>{{interest_charges_outstanding}}</w:t>
      </w:r>
      <w:r>
        <w:rPr/>
        <w:t>/-, with further interest accruing (the “</w:t>
      </w:r>
      <w:r>
        <w:rPr>
          <w:b/>
        </w:rPr>
        <w:t>Outstanding Dues</w:t>
      </w:r>
      <w:r>
        <w:rPr/>
        <w:t>”).</w:t>
      </w:r>
    </w:p>
    <w:p>
      <w:pPr>
        <w:pStyle w:val="TemplateDirective"/>
      </w:pPr>
      <w:r>
        <w:t>[[IF arbitration_pending]]</w:t>
      </w:r>
    </w:p>
    <w:p>
      <w:pPr>
        <w:numPr>
          <w:ilvl w:val="0"/>
          <w:numId w:val="81"/>
        </w:numPr>
      </w:pPr>
      <w:r>
        <w:rPr/>
        <w:t xml:space="preserve">The Lender invoked arbitration, and Arbitration Case No. </w:t>
      </w:r>
      <w:r>
        <w:rPr/>
        <w:t>{{arbitration_case_no}}</w:t>
      </w:r>
      <w:r>
        <w:rPr/>
        <w:t xml:space="preserve"> is pending before </w:t>
      </w:r>
      <w:r>
        <w:rPr/>
        <w:t>{{arbitrator_name}}</w:t>
      </w:r>
      <w:r>
        <w:rPr/>
        <w:t>, Sole Arbitrator (the “</w:t>
      </w:r>
      <w:r>
        <w:rPr>
          <w:b/>
        </w:rPr>
        <w:t>Arbitral Proceedings</w:t>
      </w:r>
      <w:r>
        <w:rPr/>
        <w:t>”). With the Parties’ consent, the Tribunal encouraged settlement by mediation, as Section 30(1) of the Arbitration and Conciliation Act, 1996 permits.</w:t>
      </w:r>
    </w:p>
    <w:p>
      <w:pPr>
        <w:pStyle w:val="TemplateDirective"/>
      </w:pPr>
      <w:r>
        <w:t>[[ELSE]]</w:t>
      </w:r>
    </w:p>
    <w:p>
      <w:pPr>
        <w:numPr>
          <w:ilvl w:val="0"/>
          <w:numId w:val="81"/>
        </w:numPr>
      </w:pPr>
      <w:r>
        <w:rPr/>
        <w:t xml:space="preserve">By notice dated </w:t>
      </w:r>
      <w:r>
        <w:rPr/>
        <w:t>{{lender_notice_date}}</w:t>
      </w:r>
      <w:r>
        <w:rPr/>
        <w:t>, the Lender demanded payment of the Outstanding Dues. Before instituting proceedings, the Parties agreed to attempt resolution through pre-institution mediation.</w:t>
      </w:r>
    </w:p>
    <w:p>
      <w:pPr>
        <w:pStyle w:val="TemplateDirective"/>
      </w:pPr>
      <w:r>
        <w:t>[[END]]</w:t>
      </w:r>
    </w:p>
    <w:p>
      <w:pPr>
        <w:pStyle w:val="TemplateDirective"/>
      </w:pPr>
      <w:r>
        <w:t>[[IF other_proceedings]]</w:t>
      </w:r>
    </w:p>
    <w:p>
      <w:pPr>
        <w:numPr>
          <w:ilvl w:val="0"/>
          <w:numId w:val="81"/>
        </w:numPr>
      </w:pPr>
      <w:r>
        <w:rPr/>
        <w:t xml:space="preserve">The following other proceedings concerning the Facility are pending: </w:t>
      </w:r>
      <w:r>
        <w:rPr/>
        <w:t>{{other_proceedings_details}}</w:t>
      </w:r>
      <w:r>
        <w:rPr/>
        <w:t xml:space="preserve"> (the “</w:t>
      </w:r>
      <w:r>
        <w:rPr>
          <w:b/>
        </w:rPr>
        <w:t>Other Proceedings</w:t>
      </w:r>
      <w:r>
        <w:rPr/>
        <w:t>”).</w:t>
      </w:r>
    </w:p>
    <w:p>
      <w:pPr>
        <w:pStyle w:val="TemplateDirective"/>
      </w:pPr>
      <w:r>
        <w:t>[[END]]</w:t>
      </w:r>
    </w:p>
    <w:p>
      <w:pPr>
        <w:numPr>
          <w:ilvl w:val="0"/>
          <w:numId w:val="81"/>
        </w:numPr>
      </w:pPr>
      <w:r>
        <w:rPr/>
        <w:t xml:space="preserve">The Parties referred their disputes to mediation before </w:t>
      </w:r>
      <w:r>
        <w:rPr>
          <w:b/>
        </w:rPr>
        <w:t>{{mediator_name}}</w:t>
      </w:r>
      <w:r>
        <w:rPr/>
        <w:t xml:space="preserve">, </w:t>
      </w:r>
      <w:r>
        <w:rPr/>
        <w:t>{{mediator_qualification}}</w:t>
      </w:r>
      <w:r>
        <w:rPr/>
        <w:t xml:space="preserve"> (registration / empanelment no. </w:t>
      </w:r>
      <w:r>
        <w:rPr/>
        <w:t>{{mediator_registration_no}}</w:t>
      </w:r>
      <w:r>
        <w:rPr/>
        <w:t>) (the “</w:t>
      </w:r>
      <w:r>
        <w:rPr>
          <w:b/>
        </w:rPr>
        <w:t>Mediator</w:t>
      </w:r>
      <w:r>
        <w:rPr/>
        <w:t xml:space="preserve">”). The mediation was administered through the Being Vakil ODR platform, and sessions were held online by video conference (Google Meet) on </w:t>
      </w:r>
      <w:r>
        <w:rPr/>
        <w:t>{{mediation_dates}}</w:t>
      </w:r>
      <w:r>
        <w:rPr/>
        <w:t>, with the Parties’ consent.</w:t>
      </w:r>
    </w:p>
    <w:p>
      <w:pPr>
        <w:pStyle w:val="TemplateDirective"/>
      </w:pPr>
      <w:r>
        <w:t>[[IF mediation_act_applicable]]</w:t>
      </w:r>
    </w:p>
    <w:p>
      <w:pPr>
        <w:numPr>
          <w:ilvl w:val="0"/>
          <w:numId w:val="81"/>
        </w:numPr>
      </w:pPr>
      <w:r>
        <w:rPr/>
        <w:t>The mediation was conducted under the Mediation Act, 2023, including Section 30 of that Act, which provides for online mediation.</w:t>
      </w:r>
    </w:p>
    <w:p>
      <w:pPr>
        <w:pStyle w:val="TemplateDirective"/>
      </w:pPr>
      <w:r>
        <w:t>[[END]]</w:t>
      </w:r>
    </w:p>
    <w:p>
      <w:pPr>
        <w:numPr>
          <w:ilvl w:val="0"/>
          <w:numId w:val="81"/>
        </w:numPr>
      </w:pPr>
      <w:r>
        <w:rPr/>
        <w:t xml:space="preserve">In the course of mediation, the Lender’s competent authority approved a one-time settlement under the Lender’s Board-approved policy on compromise settlements. The approval was given by </w:t>
      </w:r>
      <w:r>
        <w:rPr/>
        <w:t>{{ots_sanction_ref}}</w:t>
      </w:r>
      <w:r>
        <w:rPr/>
        <w:t xml:space="preserve"> dated </w:t>
      </w:r>
      <w:r>
        <w:rPr/>
        <w:t>{{ots_sanction_date}}</w:t>
      </w:r>
      <w:r>
        <w:rPr/>
        <w:t>, in line with the Reserve Bank of India’s Framework for Compromise Settlements and Technical Write-offs.</w:t>
      </w:r>
    </w:p>
    <w:p>
      <w:pPr>
        <w:numPr>
          <w:ilvl w:val="0"/>
          <w:numId w:val="81"/>
        </w:numPr>
      </w:pPr>
      <w:r>
        <w:rPr/>
        <w:t>The Parties now wish to record the terms of their settlement in writing.</w:t>
      </w:r>
    </w:p>
    <w:p>
      <w:pPr>
        <w:keepNext/>
        <w:spacing w:before="120" w:after="80"/>
        <w:jc w:val="left"/>
      </w:pPr>
      <w:r>
        <w:rPr>
          <w:b/>
          <w:smallCaps/>
        </w:rPr>
        <w:t>Now, therefore, the Parties agree as follows:</w:t>
      </w:r>
    </w:p>
    <w:p>
      <w:pPr>
        <w:keepNext/>
        <w:numPr>
          <w:ilvl w:val="0"/>
          <w:numId w:val="80"/>
        </w:numPr>
        <w:spacing w:before="240" w:after="80"/>
        <w:jc w:val="left"/>
      </w:pPr>
      <w:r>
        <w:rPr>
          <w:b/>
          <w:smallCaps/>
        </w:rPr>
        <w:t>Definitions and Interpretation</w:t>
      </w:r>
    </w:p>
    <w:p>
      <w:pPr>
        <w:numPr>
          <w:ilvl w:val="1"/>
          <w:numId w:val="80"/>
        </w:numPr>
      </w:pPr>
      <w:r>
        <w:rPr/>
        <w:t>In this Agreement: “</w:t>
      </w:r>
      <w:r>
        <w:rPr>
          <w:b/>
        </w:rPr>
        <w:t>Settlement Amount</w:t>
      </w:r>
      <w:r>
        <w:rPr/>
        <w:t>” has the meaning given in Clause 3.1; “</w:t>
      </w:r>
      <w:r>
        <w:rPr>
          <w:b/>
        </w:rPr>
        <w:t>Instalment</w:t>
      </w:r>
      <w:r>
        <w:rPr/>
        <w:t>” means each payment listed in the Payment Schedule in Clause 4.1; “</w:t>
      </w:r>
      <w:r>
        <w:rPr>
          <w:b/>
        </w:rPr>
        <w:t>Due Date</w:t>
      </w:r>
      <w:r>
        <w:rPr/>
        <w:t>” means the date against each Instalment; “</w:t>
      </w:r>
      <w:r>
        <w:rPr>
          <w:b/>
        </w:rPr>
        <w:t>Designated Account</w:t>
      </w:r>
      <w:r>
        <w:rPr/>
        <w:t>” means the Lender’s account described in Clause 4.3; and “</w:t>
      </w:r>
      <w:r>
        <w:rPr>
          <w:b/>
        </w:rPr>
        <w:t>Closure Date</w:t>
      </w:r>
      <w:r>
        <w:rPr/>
        <w:t>” means the date on which the entire Settlement Amount is received in, and realised by, the Designated Account.</w:t>
      </w:r>
    </w:p>
    <w:p>
      <w:pPr>
        <w:numPr>
          <w:ilvl w:val="1"/>
          <w:numId w:val="80"/>
        </w:numPr>
      </w:pPr>
      <w:r>
        <w:rPr/>
        <w:t>Headings are for convenience only. The singular includes the plural. A reference to a statute includes any amendment or re-enactment of it.</w:t>
      </w:r>
    </w:p>
    <w:p>
      <w:pPr>
        <w:keepNext/>
        <w:numPr>
          <w:ilvl w:val="0"/>
          <w:numId w:val="80"/>
        </w:numPr>
        <w:spacing w:before="240" w:after="80"/>
        <w:jc w:val="left"/>
      </w:pPr>
      <w:r>
        <w:rPr>
          <w:b/>
          <w:smallCaps/>
        </w:rPr>
        <w:t>Acknowledgment of Dues</w:t>
      </w:r>
    </w:p>
    <w:p>
      <w:pPr>
        <w:numPr>
          <w:ilvl w:val="1"/>
          <w:numId w:val="80"/>
        </w:numPr>
      </w:pPr>
      <w:r>
        <w:rPr/>
        <w:t xml:space="preserve">The Obligors acknowledge that they availed the Facility and that the Outstanding Dues were payable to the Lender as on </w:t>
      </w:r>
      <w:r>
        <w:rPr/>
        <w:t>{{outstanding_as_on_date}}</w:t>
      </w:r>
      <w:r>
        <w:rPr/>
        <w:t>. This acknowledgment is made in writing and signed for the purposes of, among others, Section 18 of the Limitation Act, 1963.</w:t>
      </w:r>
    </w:p>
    <w:p>
      <w:pPr>
        <w:numPr>
          <w:ilvl w:val="1"/>
          <w:numId w:val="80"/>
        </w:numPr>
      </w:pPr>
      <w:r>
        <w:rPr/>
        <w:t>This acknowledgment is given to support this Agreement, its enforcement, and the Lender’s remedies under Clause 5. The Lender’s concession is not an admission that its claim was excessive. Equally, nothing in this Agreement is an admission of criminal liability by any Obligor, and this Agreement shall not be used against any Obligor for any purpose unconnected with the Facility.</w:t>
      </w:r>
    </w:p>
    <w:p>
      <w:pPr>
        <w:keepNext/>
        <w:numPr>
          <w:ilvl w:val="0"/>
          <w:numId w:val="80"/>
        </w:numPr>
        <w:spacing w:before="240" w:after="80"/>
        <w:jc w:val="left"/>
      </w:pPr>
      <w:r>
        <w:rPr>
          <w:b/>
          <w:smallCaps/>
        </w:rPr>
        <w:t>Settlement Amount</w:t>
      </w:r>
    </w:p>
    <w:p>
      <w:pPr>
        <w:numPr>
          <w:ilvl w:val="1"/>
          <w:numId w:val="80"/>
        </w:numPr>
      </w:pPr>
      <w:r>
        <w:rPr/>
        <w:t xml:space="preserve">In full and final settlement of the Outstanding Dues, the Lender agrees to accept </w:t>
      </w:r>
      <w:r>
        <w:rPr>
          <w:b/>
        </w:rPr>
        <w:t xml:space="preserve">Rs. </w:t>
      </w:r>
      <w:r>
        <w:rPr>
          <w:b/>
        </w:rPr>
        <w:t>{{settlement_amount}}</w:t>
      </w:r>
      <w:r>
        <w:rPr>
          <w:b/>
        </w:rPr>
        <w:t xml:space="preserve">/- (Rupees </w:t>
      </w:r>
      <w:r>
        <w:rPr>
          <w:b/>
        </w:rPr>
        <w:t>{{settlement_amount_words}}</w:t>
      </w:r>
      <w:r>
        <w:rPr>
          <w:b/>
        </w:rPr>
        <w:t xml:space="preserve"> Only)</w:t>
      </w:r>
      <w:r>
        <w:rPr/>
        <w:t xml:space="preserve"> (the “</w:t>
      </w:r>
      <w:r>
        <w:rPr>
          <w:b/>
        </w:rPr>
        <w:t>Settlement Amount</w:t>
      </w:r>
      <w:r>
        <w:rPr/>
        <w:t>”), subject to timely payment in accordance with Clause 4.</w:t>
      </w:r>
    </w:p>
    <w:p>
      <w:pPr>
        <w:numPr>
          <w:ilvl w:val="1"/>
          <w:numId w:val="80"/>
        </w:numPr>
      </w:pPr>
      <w:r>
        <w:rPr/>
        <w:t xml:space="preserve">The difference of Rs. </w:t>
      </w:r>
      <w:r>
        <w:rPr/>
        <w:t>{{waiver_amount}}</w:t>
      </w:r>
      <w:r>
        <w:rPr/>
        <w:t>/- between the Outstanding Dues and the Settlement Amount is a concession. It takes effect only on the Closure Date, and is conditional on the Obligors performing this Agreement.</w:t>
      </w:r>
    </w:p>
    <w:p>
      <w:pPr>
        <w:numPr>
          <w:ilvl w:val="1"/>
          <w:numId w:val="80"/>
        </w:numPr>
      </w:pPr>
      <w:r>
        <w:rPr/>
        <w:t>The Settlement Amount includes all interest, penal charges, fees and recovery costs under the Facility.</w:t>
      </w:r>
    </w:p>
    <w:p>
      <w:pPr>
        <w:pStyle w:val="TemplateDirective"/>
      </w:pPr>
      <w:r>
        <w:t>[[IF arbitration_pending]]</w:t>
      </w:r>
    </w:p>
    <w:p>
      <w:pPr>
        <w:numPr>
          <w:ilvl w:val="1"/>
          <w:numId w:val="80"/>
        </w:numPr>
      </w:pPr>
      <w:r>
        <w:rPr/>
        <w:t xml:space="preserve">Each Party shall bear its own costs of the Arbitral Proceedings and of the mediation. The Tribunal’s fees and administrative charges shall be borne by </w:t>
      </w:r>
      <w:r>
        <w:rPr/>
        <w:t>{{arbitration_costs_borne_by}}</w:t>
      </w:r>
      <w:r>
        <w:rPr/>
        <w:t>.</w:t>
      </w:r>
    </w:p>
    <w:p>
      <w:pPr>
        <w:pStyle w:val="TemplateDirective"/>
      </w:pPr>
      <w:r>
        <w:t>[[END]]</w:t>
      </w:r>
    </w:p>
    <w:p>
      <w:pPr>
        <w:keepNext/>
        <w:numPr>
          <w:ilvl w:val="0"/>
          <w:numId w:val="80"/>
        </w:numPr>
        <w:spacing w:before="240" w:after="80"/>
        <w:jc w:val="left"/>
      </w:pPr>
      <w:r>
        <w:rPr>
          <w:b/>
          <w:smallCaps/>
        </w:rPr>
        <w:t>Payment Schedule and Mode of Payment</w:t>
      </w:r>
    </w:p>
    <w:p>
      <w:pPr>
        <w:keepNext/>
        <w:numPr>
          <w:ilvl w:val="1"/>
          <w:numId w:val="80"/>
        </w:numPr>
      </w:pPr>
      <w:r>
        <w:rPr/>
        <w:t>The Obligors shall pay the Settlement Amount on or before the Due Dates set out below (the “</w:t>
      </w:r>
      <w:r>
        <w:rPr>
          <w:b/>
        </w:rPr>
        <w:t>Payment Schedule</w:t>
      </w:r>
      <w:r>
        <w:rPr/>
        <w:t>”):</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1587"/>
        <w:gridCol w:w="2041"/>
        <w:gridCol w:w="1927"/>
        <w:gridCol w:w="3345"/>
      </w:tblGrid>
      <w:tr>
        <w:trPr>
          <w:tblHeader w:val="true"/>
          <w:cantSplit w:val="true"/>
        </w:trPr>
        <w:tc>
          <w:tcPr>
            <w:tcW w:type="dxa" w:w="1587"/>
            <w:vAlign w:val="top"/>
            <w:shd w:val="clear" w:color="auto" w:fill="E7E3DA"/>
          </w:tcPr>
          <w:p>
            <w:pPr>
              <w:keepNext/>
              <w:spacing w:after="40" w:before="20" w:line="252" w:lineRule="auto"/>
              <w:jc w:val="left"/>
            </w:pPr>
            <w:r>
              <w:rPr>
                <w:b/>
                <w:sz w:val="20"/>
              </w:rPr>
              <w:t>Instalment</w:t>
            </w:r>
          </w:p>
        </w:tc>
        <w:tc>
          <w:tcPr>
            <w:tcW w:type="dxa" w:w="2041"/>
            <w:vAlign w:val="top"/>
            <w:shd w:val="clear" w:color="auto" w:fill="E7E3DA"/>
          </w:tcPr>
          <w:p>
            <w:pPr>
              <w:keepNext/>
              <w:spacing w:after="40" w:before="20" w:line="252" w:lineRule="auto"/>
              <w:jc w:val="right"/>
            </w:pPr>
            <w:r>
              <w:rPr>
                <w:b/>
                <w:sz w:val="20"/>
              </w:rPr>
              <w:t>Amount (Rs.)</w:t>
            </w:r>
          </w:p>
        </w:tc>
        <w:tc>
          <w:tcPr>
            <w:tcW w:type="dxa" w:w="1928"/>
            <w:vAlign w:val="top"/>
            <w:shd w:val="clear" w:color="auto" w:fill="E7E3DA"/>
          </w:tcPr>
          <w:p>
            <w:pPr>
              <w:keepNext/>
              <w:spacing w:after="40" w:before="20" w:line="252" w:lineRule="auto"/>
              <w:jc w:val="left"/>
            </w:pPr>
            <w:r>
              <w:rPr>
                <w:b/>
                <w:sz w:val="20"/>
              </w:rPr>
              <w:t>Due date (on or before)</w:t>
            </w:r>
          </w:p>
        </w:tc>
        <w:tc>
          <w:tcPr>
            <w:tcW w:type="dxa" w:w="3345"/>
            <w:vAlign w:val="top"/>
            <w:shd w:val="clear" w:color="auto" w:fill="E7E3DA"/>
          </w:tcPr>
          <w:p>
            <w:pPr>
              <w:keepNext/>
              <w:spacing w:after="40" w:before="20" w:line="252" w:lineRule="auto"/>
              <w:jc w:val="left"/>
            </w:pPr>
            <w:r>
              <w:rPr>
                <w:b/>
                <w:sz w:val="20"/>
              </w:rPr>
              <w:t>Mode / payment reference</w:t>
            </w:r>
          </w:p>
        </w:tc>
      </w:tr>
      <w:tr>
        <w:trPr>
          <w:cantSplit w:val="true"/>
        </w:trPr>
        <w:tc>
          <w:tcPr>
            <w:tcW w:type="dxa" w:w="8900"/>
            <w:gridSpan w:val="4"/>
            <w:shd w:val="clear" w:color="auto" w:fill="EEF3F7"/>
          </w:tcPr>
          <w:p>
            <w:pPr>
              <w:pStyle w:val="TemplateDirective"/>
              <w:spacing w:before="0" w:after="0"/>
            </w:pPr>
            <w:r>
              <w:t>[[ROW instalments]]</w:t>
            </w:r>
            <w:r>
              <w:rPr>
                <w:b w:val="0"/>
                <w:i/>
              </w:rPr>
              <w:t xml:space="preserve">  repeat the next row once per entry; delete this row</w:t>
            </w:r>
          </w:p>
        </w:tc>
      </w:tr>
      <w:tr>
        <w:trPr>
          <w:cantSplit w:val="true"/>
        </w:trPr>
        <w:tc>
          <w:tcPr>
            <w:tcW w:type="dxa" w:w="1587"/>
            <w:vAlign w:val="top"/>
          </w:tcPr>
          <w:p>
            <w:pPr>
              <w:spacing w:after="40" w:before="20" w:line="252" w:lineRule="auto"/>
              <w:jc w:val="left"/>
            </w:pPr>
            <w:r>
              <w:rPr>
                <w:sz w:val="20"/>
              </w:rPr>
              <w:t>{{instalment_no}}</w:t>
            </w:r>
          </w:p>
        </w:tc>
        <w:tc>
          <w:tcPr>
            <w:tcW w:type="dxa" w:w="2041"/>
            <w:vAlign w:val="top"/>
          </w:tcPr>
          <w:p>
            <w:pPr>
              <w:spacing w:after="40" w:before="20" w:line="252" w:lineRule="auto"/>
              <w:jc w:val="right"/>
            </w:pPr>
            <w:r>
              <w:rPr>
                <w:sz w:val="20"/>
              </w:rPr>
              <w:t>{{instalment_amount}}</w:t>
            </w:r>
          </w:p>
        </w:tc>
        <w:tc>
          <w:tcPr>
            <w:tcW w:type="dxa" w:w="1928"/>
            <w:vAlign w:val="top"/>
          </w:tcPr>
          <w:p>
            <w:pPr>
              <w:spacing w:after="40" w:before="20" w:line="252" w:lineRule="auto"/>
              <w:jc w:val="left"/>
            </w:pPr>
            <w:r>
              <w:rPr>
                <w:sz w:val="20"/>
              </w:rPr>
              <w:t>{{instalment_due_date}}</w:t>
            </w:r>
          </w:p>
        </w:tc>
        <w:tc>
          <w:tcPr>
            <w:tcW w:type="dxa" w:w="3345"/>
            <w:vAlign w:val="top"/>
          </w:tcPr>
          <w:p>
            <w:pPr>
              <w:spacing w:after="40" w:before="20" w:line="252" w:lineRule="auto"/>
              <w:jc w:val="left"/>
            </w:pPr>
            <w:r>
              <w:rPr>
                <w:sz w:val="20"/>
              </w:rPr>
              <w:t>{{instalment_mode_ref}}</w:t>
            </w:r>
          </w:p>
        </w:tc>
      </w:tr>
      <w:tr>
        <w:trPr>
          <w:cantSplit w:val="true"/>
        </w:trPr>
        <w:tc>
          <w:tcPr>
            <w:tcW w:type="dxa" w:w="1587"/>
            <w:vAlign w:val="top"/>
            <w:shd w:val="clear" w:color="auto" w:fill="F4F2EC"/>
          </w:tcPr>
          <w:p>
            <w:pPr>
              <w:keepNext w:val="0"/>
              <w:spacing w:after="40" w:before="20" w:line="252" w:lineRule="auto"/>
              <w:jc w:val="left"/>
            </w:pPr>
            <w:r>
              <w:rPr>
                <w:b/>
                <w:sz w:val="20"/>
              </w:rPr>
              <w:t>Total</w:t>
            </w:r>
          </w:p>
        </w:tc>
        <w:tc>
          <w:tcPr>
            <w:tcW w:type="dxa" w:w="2041"/>
            <w:vAlign w:val="top"/>
            <w:shd w:val="clear" w:color="auto" w:fill="F4F2EC"/>
          </w:tcPr>
          <w:p>
            <w:pPr>
              <w:keepNext w:val="0"/>
              <w:spacing w:after="40" w:before="20" w:line="252" w:lineRule="auto"/>
              <w:jc w:val="right"/>
            </w:pPr>
            <w:r>
              <w:rPr>
                <w:b/>
                <w:sz w:val="20"/>
              </w:rPr>
              <w:t>{{settlement_amount}}</w:t>
            </w:r>
          </w:p>
        </w:tc>
        <w:tc>
          <w:tcPr>
            <w:tcW w:type="dxa" w:w="1928"/>
            <w:vAlign w:val="top"/>
            <w:shd w:val="clear" w:color="auto" w:fill="F4F2EC"/>
          </w:tcPr>
          <w:p>
            <w:pPr>
              <w:keepNext w:val="0"/>
              <w:spacing w:after="40" w:before="20" w:line="252" w:lineRule="auto"/>
              <w:jc w:val="left"/>
            </w:pPr>
          </w:p>
        </w:tc>
        <w:tc>
          <w:tcPr>
            <w:tcW w:type="dxa" w:w="3345"/>
            <w:vAlign w:val="top"/>
            <w:shd w:val="clear" w:color="auto" w:fill="F4F2EC"/>
          </w:tcPr>
          <w:p>
            <w:pPr>
              <w:keepNext w:val="0"/>
              <w:spacing w:after="40" w:before="20" w:line="252" w:lineRule="auto"/>
              <w:jc w:val="left"/>
            </w:pPr>
          </w:p>
        </w:tc>
      </w:tr>
    </w:tbl>
    <w:p>
      <w:pPr>
        <w:spacing w:after="40"/>
      </w:pPr>
    </w:p>
    <w:p>
      <w:pPr>
        <w:numPr>
          <w:ilvl w:val="1"/>
          <w:numId w:val="80"/>
        </w:numPr>
      </w:pPr>
      <w:r>
        <w:rPr/>
        <w:t>Any upfront or token amount already paid shall be credited towards the Settlement Amount. Such an amount is shown in the Payment Schedule with its payment reference.</w:t>
      </w:r>
    </w:p>
    <w:p>
      <w:pPr>
        <w:keepNext/>
        <w:numPr>
          <w:ilvl w:val="1"/>
          <w:numId w:val="80"/>
        </w:numPr>
      </w:pPr>
      <w:r>
        <w:rPr/>
        <w:t xml:space="preserve">Payments shall be made </w:t>
      </w:r>
      <w:r>
        <w:rPr>
          <w:b/>
        </w:rPr>
        <w:t>only</w:t>
      </w:r>
      <w:r>
        <w:rPr/>
        <w:t xml:space="preserve"> by NEFT, RTGS, IMPS, UPI, demand draft or cheque to the following account of the Lender (the “</w:t>
      </w:r>
      <w:r>
        <w:rPr>
          <w:b/>
        </w:rPr>
        <w:t>Designated Account</w:t>
      </w:r>
      <w:r>
        <w:rPr/>
        <w:t xml:space="preserve">”), or through a payment link issued from the Lender’s official domain. The Obligors shall quote Account No. </w:t>
      </w:r>
      <w:r>
        <w:rPr/>
        <w:t>{{account_no}}</w:t>
      </w:r>
      <w:r>
        <w:rPr/>
        <w:t xml:space="preserve"> and Ref. </w:t>
      </w:r>
      <w:r>
        <w:rPr/>
        <w:t>{{case_ref_no}}</w:t>
      </w:r>
      <w:r>
        <w:rPr/>
        <w:t xml:space="preserve"> with each payment.</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2835"/>
        <w:gridCol w:w="6066"/>
      </w:tblGrid>
      <w:tr>
        <w:trPr>
          <w:cantSplit w:val="true"/>
        </w:trPr>
        <w:tc>
          <w:tcPr>
            <w:tcW w:type="dxa" w:w="2835"/>
            <w:vAlign w:val="top"/>
            <w:shd w:val="clear" w:color="auto" w:fill="F4F2EC"/>
          </w:tcPr>
          <w:p>
            <w:pPr>
              <w:keepNext/>
              <w:spacing w:after="40" w:before="20" w:line="252" w:lineRule="auto"/>
              <w:jc w:val="left"/>
            </w:pPr>
            <w:r>
              <w:rPr>
                <w:sz w:val="20"/>
              </w:rPr>
              <w:t>Account name</w:t>
            </w:r>
          </w:p>
        </w:tc>
        <w:tc>
          <w:tcPr>
            <w:tcW w:type="dxa" w:w="6066"/>
            <w:vAlign w:val="top"/>
          </w:tcPr>
          <w:p>
            <w:pPr>
              <w:keepNext/>
              <w:spacing w:after="40" w:before="20" w:line="252" w:lineRule="auto"/>
              <w:jc w:val="left"/>
            </w:pPr>
            <w:r>
              <w:rPr>
                <w:sz w:val="20"/>
              </w:rPr>
              <w:t>{{payee_account_name}}</w:t>
            </w:r>
          </w:p>
        </w:tc>
      </w:tr>
      <w:tr>
        <w:trPr>
          <w:cantSplit w:val="true"/>
        </w:trPr>
        <w:tc>
          <w:tcPr>
            <w:tcW w:type="dxa" w:w="2835"/>
            <w:vAlign w:val="top"/>
            <w:shd w:val="clear" w:color="auto" w:fill="F4F2EC"/>
          </w:tcPr>
          <w:p>
            <w:pPr>
              <w:keepNext/>
              <w:spacing w:after="40" w:before="20" w:line="252" w:lineRule="auto"/>
              <w:jc w:val="left"/>
            </w:pPr>
            <w:r>
              <w:rPr>
                <w:sz w:val="20"/>
              </w:rPr>
              <w:t>Bank and branch</w:t>
            </w:r>
          </w:p>
        </w:tc>
        <w:tc>
          <w:tcPr>
            <w:tcW w:type="dxa" w:w="6066"/>
            <w:vAlign w:val="top"/>
          </w:tcPr>
          <w:p>
            <w:pPr>
              <w:keepNext/>
              <w:spacing w:after="40" w:before="20" w:line="252" w:lineRule="auto"/>
              <w:jc w:val="left"/>
            </w:pPr>
            <w:r>
              <w:rPr>
                <w:sz w:val="20"/>
              </w:rPr>
              <w:t>{{payee_bank_name}}</w:t>
            </w:r>
            <w:r>
              <w:rPr>
                <w:sz w:val="20"/>
              </w:rPr>
              <w:t xml:space="preserve">, </w:t>
            </w:r>
            <w:r>
              <w:rPr>
                <w:sz w:val="20"/>
              </w:rPr>
              <w:t>{{payee_branch}}</w:t>
            </w:r>
          </w:p>
        </w:tc>
      </w:tr>
      <w:tr>
        <w:trPr>
          <w:cantSplit w:val="true"/>
        </w:trPr>
        <w:tc>
          <w:tcPr>
            <w:tcW w:type="dxa" w:w="2835"/>
            <w:vAlign w:val="top"/>
            <w:shd w:val="clear" w:color="auto" w:fill="F4F2EC"/>
          </w:tcPr>
          <w:p>
            <w:pPr>
              <w:keepNext/>
              <w:spacing w:after="40" w:before="20" w:line="252" w:lineRule="auto"/>
              <w:jc w:val="left"/>
            </w:pPr>
            <w:r>
              <w:rPr>
                <w:sz w:val="20"/>
              </w:rPr>
              <w:t>Account number</w:t>
            </w:r>
          </w:p>
        </w:tc>
        <w:tc>
          <w:tcPr>
            <w:tcW w:type="dxa" w:w="6066"/>
            <w:vAlign w:val="top"/>
          </w:tcPr>
          <w:p>
            <w:pPr>
              <w:keepNext/>
              <w:spacing w:after="40" w:before="20" w:line="252" w:lineRule="auto"/>
              <w:jc w:val="left"/>
            </w:pPr>
            <w:r>
              <w:rPr>
                <w:sz w:val="20"/>
              </w:rPr>
              <w:t>{{payee_account_no}}</w:t>
            </w:r>
          </w:p>
        </w:tc>
      </w:tr>
      <w:tr>
        <w:trPr>
          <w:cantSplit w:val="true"/>
        </w:trPr>
        <w:tc>
          <w:tcPr>
            <w:tcW w:type="dxa" w:w="2835"/>
            <w:vAlign w:val="top"/>
            <w:shd w:val="clear" w:color="auto" w:fill="F4F2EC"/>
          </w:tcPr>
          <w:p>
            <w:pPr>
              <w:keepNext/>
              <w:spacing w:after="40" w:before="20" w:line="252" w:lineRule="auto"/>
              <w:jc w:val="left"/>
            </w:pPr>
            <w:r>
              <w:rPr>
                <w:sz w:val="20"/>
              </w:rPr>
              <w:t>IFSC</w:t>
            </w:r>
          </w:p>
        </w:tc>
        <w:tc>
          <w:tcPr>
            <w:tcW w:type="dxa" w:w="6066"/>
            <w:vAlign w:val="top"/>
          </w:tcPr>
          <w:p>
            <w:pPr>
              <w:keepNext/>
              <w:spacing w:after="40" w:before="20" w:line="252" w:lineRule="auto"/>
              <w:jc w:val="left"/>
            </w:pPr>
            <w:r>
              <w:rPr>
                <w:sz w:val="20"/>
              </w:rPr>
              <w:t>{{payee_ifsc}}</w:t>
            </w:r>
          </w:p>
        </w:tc>
      </w:tr>
      <w:tr>
        <w:trPr>
          <w:cantSplit w:val="true"/>
        </w:trPr>
        <w:tc>
          <w:tcPr>
            <w:tcW w:type="dxa" w:w="2835"/>
            <w:vAlign w:val="top"/>
            <w:shd w:val="clear" w:color="auto" w:fill="F4F2EC"/>
          </w:tcPr>
          <w:p>
            <w:pPr>
              <w:keepNext w:val="0"/>
              <w:spacing w:after="40" w:before="20" w:line="252" w:lineRule="auto"/>
              <w:jc w:val="left"/>
            </w:pPr>
            <w:r>
              <w:rPr>
                <w:sz w:val="20"/>
              </w:rPr>
              <w:t>UPI ID (if any)</w:t>
            </w:r>
          </w:p>
        </w:tc>
        <w:tc>
          <w:tcPr>
            <w:tcW w:type="dxa" w:w="6066"/>
            <w:vAlign w:val="top"/>
          </w:tcPr>
          <w:p>
            <w:pPr>
              <w:keepNext w:val="0"/>
              <w:spacing w:after="40" w:before="20" w:line="252" w:lineRule="auto"/>
              <w:jc w:val="left"/>
            </w:pPr>
            <w:r>
              <w:rPr>
                <w:sz w:val="20"/>
              </w:rPr>
              <w:t>{{payee_upi_id}}</w:t>
            </w:r>
          </w:p>
        </w:tc>
      </w:tr>
    </w:tbl>
    <w:p>
      <w:pPr>
        <w:spacing w:after="40"/>
      </w:pPr>
    </w:p>
    <w:p>
      <w:pPr>
        <w:numPr>
          <w:ilvl w:val="1"/>
          <w:numId w:val="80"/>
        </w:numPr>
      </w:pPr>
      <w:r>
        <w:rPr/>
        <w:t>No payment shall be made in cash to any person, or to the personal account of any employee, recovery agent or representative. The Mediator, Being Vakil Associates and the ODR platform do not collect or hold any money under this Agreement. A payment counts only when it is credited to the Designated Account.</w:t>
      </w:r>
    </w:p>
    <w:p>
      <w:pPr>
        <w:numPr>
          <w:ilvl w:val="1"/>
          <w:numId w:val="80"/>
        </w:numPr>
      </w:pPr>
      <w:r>
        <w:rPr/>
        <w:t xml:space="preserve">The Lender shall issue a receipt for each payment, by e-mail or SMS, within </w:t>
      </w:r>
      <w:r>
        <w:rPr/>
        <w:t>{{receipt_days}}</w:t>
      </w:r>
      <w:r>
        <w:rPr/>
        <w:t xml:space="preserve"> working days of credit.</w:t>
      </w:r>
    </w:p>
    <w:p>
      <w:pPr>
        <w:numPr>
          <w:ilvl w:val="1"/>
          <w:numId w:val="80"/>
        </w:numPr>
      </w:pPr>
      <w:r>
        <w:rPr/>
        <w:t>The Obligors may pay any Instalment early, without any prepayment charge.</w:t>
      </w:r>
    </w:p>
    <w:p>
      <w:pPr>
        <w:numPr>
          <w:ilvl w:val="1"/>
          <w:numId w:val="80"/>
        </w:numPr>
      </w:pPr>
      <w:r>
        <w:rPr/>
        <w:t>Time is of the essence for each payment.</w:t>
      </w:r>
    </w:p>
    <w:p>
      <w:pPr>
        <w:keepNext/>
        <w:numPr>
          <w:ilvl w:val="0"/>
          <w:numId w:val="80"/>
        </w:numPr>
        <w:spacing w:before="240" w:after="80"/>
        <w:jc w:val="left"/>
      </w:pPr>
      <w:r>
        <w:rPr>
          <w:b/>
          <w:smallCaps/>
        </w:rPr>
        <w:t>Default</w:t>
      </w:r>
    </w:p>
    <w:p>
      <w:pPr>
        <w:keepNext/>
        <w:numPr>
          <w:ilvl w:val="1"/>
          <w:numId w:val="80"/>
        </w:numPr>
      </w:pPr>
      <w:r>
        <w:rPr/>
        <w:t>Each of the following is an “</w:t>
      </w:r>
      <w:r>
        <w:rPr>
          <w:b/>
        </w:rPr>
        <w:t>Event of Default</w:t>
      </w:r>
      <w:r>
        <w:rPr/>
        <w:t>”:</w:t>
      </w:r>
    </w:p>
    <w:p>
      <w:pPr>
        <w:numPr>
          <w:ilvl w:val="2"/>
          <w:numId w:val="80"/>
        </w:numPr>
      </w:pPr>
      <w:r>
        <w:rPr/>
        <w:t xml:space="preserve">failure to pay any Instalment in full on its Due Date, unless the shortfall is made good within </w:t>
      </w:r>
      <w:r>
        <w:rPr/>
        <w:t>{{cure_period_days}}</w:t>
      </w:r>
      <w:r>
        <w:rPr/>
        <w:t xml:space="preserve"> days;</w:t>
      </w:r>
    </w:p>
    <w:p>
      <w:pPr>
        <w:numPr>
          <w:ilvl w:val="2"/>
          <w:numId w:val="80"/>
        </w:numPr>
      </w:pPr>
      <w:r>
        <w:rPr/>
        <w:t>dishonour of any cheque or failure of any mandate given towards the Settlement Amount; or</w:t>
      </w:r>
    </w:p>
    <w:p>
      <w:pPr>
        <w:numPr>
          <w:ilvl w:val="2"/>
          <w:numId w:val="80"/>
        </w:numPr>
      </w:pPr>
      <w:r>
        <w:rPr/>
        <w:t>any statement or document given by an Obligor in the mediation proving to be materially false.</w:t>
      </w:r>
    </w:p>
    <w:p>
      <w:pPr>
        <w:keepNext/>
        <w:numPr>
          <w:ilvl w:val="1"/>
          <w:numId w:val="80"/>
        </w:numPr>
      </w:pPr>
      <w:r>
        <w:rPr/>
        <w:t>On an Event of Default, the Lender may, by written notice (including by e-mail, SMS or WhatsApp to the contact details above), elect either:</w:t>
      </w:r>
    </w:p>
    <w:p>
      <w:pPr>
        <w:numPr>
          <w:ilvl w:val="2"/>
          <w:numId w:val="80"/>
        </w:numPr>
      </w:pPr>
      <w:r>
        <w:rPr/>
        <w:t>to enforce this Agreement for the unpaid balance of the Settlement Amount; or</w:t>
      </w:r>
    </w:p>
    <w:p>
      <w:pPr>
        <w:numPr>
          <w:ilvl w:val="2"/>
          <w:numId w:val="80"/>
        </w:numPr>
      </w:pPr>
      <w:r>
        <w:rPr/>
        <w:t xml:space="preserve">to treat the concession in Clause 3.2 as withdrawn. In that case, the Lender may recover the Outstanding Dues together with contractual interest from </w:t>
      </w:r>
      <w:r>
        <w:rPr/>
        <w:t>{{outstanding_as_on_date}}</w:t>
      </w:r>
      <w:r>
        <w:rPr/>
        <w:t>, after giving credit for all amounts paid under this Agreement.</w:t>
      </w:r>
    </w:p>
    <w:p>
      <w:pPr>
        <w:numPr>
          <w:ilvl w:val="1"/>
          <w:numId w:val="80"/>
        </w:numPr>
      </w:pPr>
      <w:r>
        <w:rPr/>
        <w:t>All amounts paid before an Event of Default shall be retained by the Lender and appropriated towards the Facility. They are not refundable.</w:t>
      </w:r>
    </w:p>
    <w:p>
      <w:pPr>
        <w:pStyle w:val="TemplateDirective"/>
      </w:pPr>
      <w:r>
        <w:t>[[IF arbitration_pending]]</w:t>
      </w:r>
    </w:p>
    <w:p>
      <w:pPr>
        <w:numPr>
          <w:ilvl w:val="1"/>
          <w:numId w:val="80"/>
        </w:numPr>
      </w:pPr>
      <w:r>
        <w:rPr/>
        <w:t>If an Event of Default occurs, the Lender may also apply for the revival or continuation of the Arbitral Proceedings, or, where an award on agreed terms has been made, enforce it. The award on agreed terms shall record the consequences of default set out in this Clause 5.</w:t>
      </w:r>
    </w:p>
    <w:p>
      <w:pPr>
        <w:pStyle w:val="TemplateDirective"/>
      </w:pPr>
      <w:r>
        <w:t>[[ELSE]]</w:t>
      </w:r>
    </w:p>
    <w:p>
      <w:pPr>
        <w:numPr>
          <w:ilvl w:val="1"/>
          <w:numId w:val="80"/>
        </w:numPr>
      </w:pPr>
      <w:r>
        <w:rPr/>
        <w:t>If an Event of Default occurs, the Lender may also initiate arbitration or any other remedy available to it in law in respect of the Facility.</w:t>
      </w:r>
    </w:p>
    <w:p>
      <w:pPr>
        <w:pStyle w:val="TemplateDirective"/>
      </w:pPr>
      <w:r>
        <w:t>[[END]]</w:t>
      </w:r>
    </w:p>
    <w:p>
      <w:pPr>
        <w:keepNext/>
        <w:numPr>
          <w:ilvl w:val="0"/>
          <w:numId w:val="80"/>
        </w:numPr>
        <w:spacing w:before="240" w:after="80"/>
        <w:jc w:val="left"/>
      </w:pPr>
      <w:r>
        <w:rPr>
          <w:b/>
          <w:smallCaps/>
        </w:rPr>
        <w:t>Pending and Future Proceedings</w:t>
      </w:r>
    </w:p>
    <w:p>
      <w:pPr>
        <w:pStyle w:val="TemplateDirective"/>
      </w:pPr>
      <w:r>
        <w:t>[[IF arbitration_pending]]</w:t>
      </w:r>
    </w:p>
    <w:p>
      <w:pPr>
        <w:pStyle w:val="TemplateDirective"/>
      </w:pPr>
      <w:r>
        <w:t>[[IF award_on_agreed_terms]]</w:t>
      </w:r>
    </w:p>
    <w:p>
      <w:pPr>
        <w:numPr>
          <w:ilvl w:val="1"/>
          <w:numId w:val="80"/>
        </w:numPr>
      </w:pPr>
      <w:r>
        <w:rPr/>
        <w:t xml:space="preserve">Within </w:t>
      </w:r>
      <w:r>
        <w:rPr/>
        <w:t>{{joint_filing_days}}</w:t>
      </w:r>
      <w:r>
        <w:rPr/>
        <w:t xml:space="preserve"> days of the Execution Date, the Parties shall jointly place this Agreement before the Tribunal. They shall request the Tribunal to terminate the Arbitral Proceedings and to record the settlement as an arbitral award on agreed terms under Section 30(2) of the Arbitration and Conciliation Act, 1996. Under Section 30(4), that award shall have the same status and effect as any other arbitral award on the substance of the dispute.</w:t>
      </w:r>
    </w:p>
    <w:p>
      <w:pPr>
        <w:pStyle w:val="TemplateDirective"/>
      </w:pPr>
      <w:r>
        <w:t>[[ELSE]]</w:t>
      </w:r>
    </w:p>
    <w:p>
      <w:pPr>
        <w:numPr>
          <w:ilvl w:val="1"/>
          <w:numId w:val="80"/>
        </w:numPr>
      </w:pPr>
      <w:r>
        <w:rPr/>
        <w:t xml:space="preserve">Within </w:t>
      </w:r>
      <w:r>
        <w:rPr/>
        <w:t>{{joint_filing_days}}</w:t>
      </w:r>
      <w:r>
        <w:rPr/>
        <w:t xml:space="preserve"> days of the Execution Date, the Parties shall jointly place this Agreement before the Tribunal and request that the Arbitral Proceedings be kept in abeyance until the Closure Date. Within </w:t>
      </w:r>
      <w:r>
        <w:rPr/>
        <w:t>{{withdrawal_days}}</w:t>
      </w:r>
      <w:r>
        <w:rPr/>
        <w:t xml:space="preserve"> days after the Closure Date, the Lender shall withdraw the claim, so that the Tribunal may terminate the proceedings under Section 32(2) of the Arbitration and Conciliation Act, 1996.</w:t>
      </w:r>
    </w:p>
    <w:p>
      <w:pPr>
        <w:pStyle w:val="TemplateDirective"/>
      </w:pPr>
      <w:r>
        <w:t>[[END]]</w:t>
      </w:r>
    </w:p>
    <w:p>
      <w:pPr>
        <w:pStyle w:val="TemplateDirective"/>
      </w:pPr>
      <w:r>
        <w:t>[[END]]</w:t>
      </w:r>
    </w:p>
    <w:p>
      <w:pPr>
        <w:pStyle w:val="TemplateDirective"/>
      </w:pPr>
      <w:r>
        <w:t>[[IF other_proceedings]]</w:t>
      </w:r>
    </w:p>
    <w:p>
      <w:pPr>
        <w:numPr>
          <w:ilvl w:val="1"/>
          <w:numId w:val="80"/>
        </w:numPr>
      </w:pPr>
      <w:r>
        <w:rPr/>
        <w:t xml:space="preserve">Until the Closure Date, the Lender shall not press the Other Proceedings beyond what is necessary to preserve them. Within </w:t>
      </w:r>
      <w:r>
        <w:rPr/>
        <w:t>{{withdrawal_days}}</w:t>
      </w:r>
      <w:r>
        <w:rPr/>
        <w:t xml:space="preserve"> days after the Closure Date, the Lender shall withdraw or compound the Other Proceedings, including by compounding any complaint under Section 138 of the Negotiable Instruments Act, 1881 in terms of Section 147 of that Act, and the Obligors shall cooperate in doing so.</w:t>
      </w:r>
    </w:p>
    <w:p>
      <w:pPr>
        <w:pStyle w:val="TemplateDirective"/>
      </w:pPr>
      <w:r>
        <w:t>[[END]]</w:t>
      </w:r>
    </w:p>
    <w:p>
      <w:pPr>
        <w:numPr>
          <w:ilvl w:val="1"/>
          <w:numId w:val="80"/>
        </w:numPr>
      </w:pPr>
      <w:r>
        <w:rPr/>
        <w:t>So long as the Obligors are not in default, the Lender shall not initiate any fresh proceedings in respect of the Facility.</w:t>
      </w:r>
    </w:p>
    <w:p>
      <w:pPr>
        <w:keepNext/>
        <w:numPr>
          <w:ilvl w:val="0"/>
          <w:numId w:val="80"/>
        </w:numPr>
        <w:spacing w:before="240" w:after="80"/>
        <w:jc w:val="left"/>
      </w:pPr>
      <w:r>
        <w:rPr>
          <w:b/>
          <w:smallCaps/>
        </w:rPr>
        <w:t>Closure, No Dues Certificate and Credit Reporting</w:t>
      </w:r>
    </w:p>
    <w:p>
      <w:pPr>
        <w:numPr>
          <w:ilvl w:val="1"/>
          <w:numId w:val="80"/>
        </w:numPr>
      </w:pPr>
      <w:r>
        <w:rPr/>
        <w:t xml:space="preserve">Within </w:t>
      </w:r>
      <w:r>
        <w:rPr/>
        <w:t>{{ndc_days}}</w:t>
      </w:r>
      <w:r>
        <w:rPr/>
        <w:t xml:space="preserve"> days of the Closure Date, the Lender shall close the Facility account and issue the Obligors a No Dues Certificate or closure letter confirming that the account is closed under this settlement.</w:t>
      </w:r>
    </w:p>
    <w:p>
      <w:pPr>
        <w:numPr>
          <w:ilvl w:val="1"/>
          <w:numId w:val="80"/>
        </w:numPr>
      </w:pPr>
      <w:r>
        <w:rPr/>
        <w:t>The Lender shall report the account to every credit information company to which it reports, as “</w:t>
      </w:r>
      <w:r>
        <w:rPr>
          <w:b/>
        </w:rPr>
        <w:t>Settled</w:t>
      </w:r>
      <w:r>
        <w:rPr/>
        <w:t xml:space="preserve">”, with the settled amount. It shall do so in the next reporting cycle after the Closure Date, and in any event within </w:t>
      </w:r>
      <w:r>
        <w:rPr/>
        <w:t>{{bureau_update_days}}</w:t>
      </w:r>
      <w:r>
        <w:rPr/>
        <w:t xml:space="preserve"> days, as the Credit Information Companies (Regulation) Act, 2005 and the applicable directions of the Reserve Bank of India require.</w:t>
      </w:r>
    </w:p>
    <w:p>
      <w:pPr>
        <w:numPr>
          <w:ilvl w:val="1"/>
          <w:numId w:val="80"/>
        </w:numPr>
      </w:pPr>
      <w:r>
        <w:rPr/>
        <w:t>The Obligors acknowledge the following. “Settled” is the accurate status of an account closed by compromise, and may affect their credit score. Under the Lender’s Board-approved policy and the RBI directions, a cooling period may apply before the Lender grants them fresh credit.</w:t>
      </w:r>
    </w:p>
    <w:p>
      <w:pPr>
        <w:numPr>
          <w:ilvl w:val="1"/>
          <w:numId w:val="80"/>
        </w:numPr>
      </w:pPr>
      <w:r>
        <w:rPr/>
        <w:t xml:space="preserve">Within </w:t>
      </w:r>
      <w:r>
        <w:rPr/>
        <w:t>{{agent_withdrawal_days}}</w:t>
      </w:r>
      <w:r>
        <w:rPr/>
        <w:t xml:space="preserve"> working days of the Execution Date, the Lender shall instruct its recovery agents to stop all collection contact with the Obligors, other than reminders of the Instalments under this Agreement.</w:t>
      </w:r>
    </w:p>
    <w:p>
      <w:pPr>
        <w:numPr>
          <w:ilvl w:val="1"/>
          <w:numId w:val="80"/>
        </w:numPr>
      </w:pPr>
      <w:r>
        <w:rPr/>
        <w:t xml:space="preserve">The Obligors may raise any grievance about the implementation of this Clause with the Lender’s grievance redressal officer at </w:t>
      </w:r>
      <w:r>
        <w:rPr/>
        <w:t>{{lender_grievance_contact}}</w:t>
      </w:r>
      <w:r>
        <w:rPr/>
        <w:t>. If unresolved, they may approach the Reserve Bank – Integrated Ombudsman Scheme, 2021.</w:t>
      </w:r>
    </w:p>
    <w:p>
      <w:pPr>
        <w:pStyle w:val="TemplateDirective"/>
      </w:pPr>
      <w:r>
        <w:t>[[IF secured_loan]]</w:t>
      </w:r>
    </w:p>
    <w:p>
      <w:pPr>
        <w:keepNext/>
        <w:numPr>
          <w:ilvl w:val="0"/>
          <w:numId w:val="80"/>
        </w:numPr>
        <w:spacing w:before="240" w:after="80"/>
        <w:jc w:val="left"/>
      </w:pPr>
      <w:r>
        <w:rPr>
          <w:b/>
          <w:smallCaps/>
        </w:rPr>
        <w:t>Release of Security</w:t>
      </w:r>
    </w:p>
    <w:p>
      <w:pPr>
        <w:numPr>
          <w:ilvl w:val="1"/>
          <w:numId w:val="80"/>
        </w:numPr>
      </w:pPr>
      <w:r>
        <w:rPr/>
        <w:t xml:space="preserve">Within </w:t>
      </w:r>
      <w:r>
        <w:rPr/>
        <w:t>{{security_release_days}}</w:t>
      </w:r>
      <w:r>
        <w:rPr/>
        <w:t xml:space="preserve"> days of the Closure Date (which shall not exceed thirty days), the Lender shall release all original title documents and other Security documents to the Obligors at </w:t>
      </w:r>
      <w:r>
        <w:rPr/>
        <w:t>{{document_return_branch}}</w:t>
      </w:r>
      <w:r>
        <w:rPr/>
        <w:t>, or at any other branch the Obligors choose. It shall also file for the removal of every charge registered with CERSAI, the Registrar of Companies or the transport authority, as the case may be. If the Lender delays the release for reasons attributable to it, it shall pay compensation as required by the RBI directions on the release of movable and immovable property documents.</w:t>
      </w:r>
    </w:p>
    <w:p>
      <w:pPr>
        <w:numPr>
          <w:ilvl w:val="1"/>
          <w:numId w:val="80"/>
        </w:numPr>
      </w:pPr>
      <w:r>
        <w:rPr/>
        <w:t>Until the Closure Date, the Security shall continue to secure the Facility.</w:t>
      </w:r>
    </w:p>
    <w:p>
      <w:pPr>
        <w:pStyle w:val="TemplateDirective"/>
      </w:pPr>
      <w:r>
        <w:t>[[IF has_guarantor]]</w:t>
      </w:r>
    </w:p>
    <w:p>
      <w:pPr>
        <w:numPr>
          <w:ilvl w:val="1"/>
          <w:numId w:val="80"/>
        </w:numPr>
      </w:pPr>
      <w:r>
        <w:rPr/>
        <w:t>On the Closure Date, every guarantee given for the Facility shall stand discharged.</w:t>
      </w:r>
    </w:p>
    <w:p>
      <w:pPr>
        <w:pStyle w:val="TemplateDirective"/>
      </w:pPr>
      <w:r>
        <w:t>[[END]]</w:t>
      </w:r>
    </w:p>
    <w:p>
      <w:pPr>
        <w:pStyle w:val="TemplateDirective"/>
      </w:pPr>
      <w:r>
        <w:t>[[END]]</w:t>
      </w:r>
    </w:p>
    <w:p>
      <w:pPr>
        <w:keepNext/>
        <w:numPr>
          <w:ilvl w:val="0"/>
          <w:numId w:val="80"/>
        </w:numPr>
        <w:spacing w:before="240" w:after="80"/>
        <w:jc w:val="left"/>
      </w:pPr>
      <w:r>
        <w:rPr>
          <w:b/>
          <w:smallCaps/>
        </w:rPr>
        <w:t>Release</w:t>
      </w:r>
    </w:p>
    <w:p>
      <w:pPr>
        <w:numPr>
          <w:ilvl w:val="1"/>
          <w:numId w:val="80"/>
        </w:numPr>
      </w:pPr>
      <w:r>
        <w:rPr/>
        <w:t>With effect from the Closure Date, each Party releases the other from all claims arising out of the Facility, except for the obligations under this Agreement that survive closure.</w:t>
      </w:r>
    </w:p>
    <w:p>
      <w:pPr>
        <w:keepNext/>
        <w:numPr>
          <w:ilvl w:val="0"/>
          <w:numId w:val="80"/>
        </w:numPr>
        <w:spacing w:before="240" w:after="80"/>
        <w:jc w:val="left"/>
      </w:pPr>
      <w:r>
        <w:rPr>
          <w:b/>
          <w:smallCaps/>
        </w:rPr>
        <w:t>Confidentiality of Mediation</w:t>
      </w:r>
    </w:p>
    <w:p>
      <w:pPr>
        <w:numPr>
          <w:ilvl w:val="1"/>
          <w:numId w:val="80"/>
        </w:numPr>
      </w:pPr>
      <w:r>
        <w:rPr/>
        <w:t>Everything said, offered or disclosed in the mediation is confidential, and shall not be relied on or produced as evidence in any proceeding. The Mediator shall not be called as a witness. No audio or video recording of the mediation sessions has been made, and none shall be used.</w:t>
      </w:r>
    </w:p>
    <w:p>
      <w:pPr>
        <w:pStyle w:val="TemplateDirective"/>
      </w:pPr>
      <w:r>
        <w:t>[[IF mediation_act_applicable]]</w:t>
      </w:r>
    </w:p>
    <w:p>
      <w:pPr>
        <w:numPr>
          <w:ilvl w:val="1"/>
          <w:numId w:val="80"/>
        </w:numPr>
      </w:pPr>
      <w:r>
        <w:rPr/>
        <w:t>The preceding sub-clause is in addition to the confidentiality and inadmissibility provisions of the Mediation Act, 2023.</w:t>
      </w:r>
    </w:p>
    <w:p>
      <w:pPr>
        <w:pStyle w:val="TemplateDirective"/>
      </w:pPr>
      <w:r>
        <w:t>[[END]]</w:t>
      </w:r>
    </w:p>
    <w:p>
      <w:pPr>
        <w:numPr>
          <w:ilvl w:val="1"/>
          <w:numId w:val="80"/>
        </w:numPr>
      </w:pPr>
      <w:r>
        <w:rPr/>
        <w:t>This Agreement itself may be disclosed for its implementation or enforcement, and to the Tribunal, courts, regulators, auditors and credit information companies.</w:t>
      </w:r>
    </w:p>
    <w:p>
      <w:pPr>
        <w:keepNext/>
        <w:numPr>
          <w:ilvl w:val="0"/>
          <w:numId w:val="80"/>
        </w:numPr>
        <w:spacing w:before="240" w:after="80"/>
        <w:jc w:val="left"/>
      </w:pPr>
      <w:r>
        <w:rPr>
          <w:b/>
          <w:smallCaps/>
        </w:rPr>
        <w:t>Voluntary Execution and Representations</w:t>
      </w:r>
    </w:p>
    <w:p>
      <w:pPr>
        <w:numPr>
          <w:ilvl w:val="1"/>
          <w:numId w:val="80"/>
        </w:numPr>
      </w:pPr>
      <w:r>
        <w:rPr/>
        <w:t xml:space="preserve">Each Obligor confirms the following. The Obligor has read this Agreement, or had it explained in </w:t>
      </w:r>
      <w:r>
        <w:rPr/>
        <w:t>{{explanation_language}}</w:t>
      </w:r>
      <w:r>
        <w:rPr/>
        <w:t>, and understands it. The Obligor signs it voluntarily, free from coercion, undue influence or misrepresentation, and was given the opportunity to take independent legal advice before signing (</w:t>
      </w:r>
      <w:r>
        <w:rPr/>
        <w:t>{{obligor_legal_advice_note}}</w:t>
      </w:r>
      <w:r>
        <w:rPr/>
        <w:t>). The Obligor also believes that the Payment Schedule is within the Obligor’s means.</w:t>
      </w:r>
    </w:p>
    <w:p>
      <w:pPr>
        <w:numPr>
          <w:ilvl w:val="1"/>
          <w:numId w:val="80"/>
        </w:numPr>
      </w:pPr>
      <w:r>
        <w:rPr/>
        <w:t>The Lender confirms that its signatory is duly authorised and that the settlement has been approved by its competent authority.</w:t>
      </w:r>
    </w:p>
    <w:p>
      <w:pPr>
        <w:keepNext/>
        <w:numPr>
          <w:ilvl w:val="0"/>
          <w:numId w:val="80"/>
        </w:numPr>
        <w:spacing w:before="240" w:after="80"/>
        <w:jc w:val="left"/>
      </w:pPr>
      <w:r>
        <w:rPr>
          <w:b/>
          <w:smallCaps/>
        </w:rPr>
        <w:t>Notices</w:t>
      </w:r>
    </w:p>
    <w:p>
      <w:pPr>
        <w:numPr>
          <w:ilvl w:val="1"/>
          <w:numId w:val="80"/>
        </w:numPr>
      </w:pPr>
      <w:r>
        <w:rPr/>
        <w:t>Notices under this Agreement may be given to the postal addresses, e-mail addresses and mobile numbers stated above, by post, courier, e-mail, SMS or WhatsApp. Each Party shall notify the others of any change in its contact details.</w:t>
      </w:r>
    </w:p>
    <w:p>
      <w:pPr>
        <w:keepNext/>
        <w:numPr>
          <w:ilvl w:val="0"/>
          <w:numId w:val="80"/>
        </w:numPr>
        <w:spacing w:before="240" w:after="80"/>
        <w:jc w:val="left"/>
      </w:pPr>
      <w:r>
        <w:rPr>
          <w:b/>
          <w:smallCaps/>
        </w:rPr>
        <w:t>Electronic Execution and Counterparts</w:t>
      </w:r>
    </w:p>
    <w:p>
      <w:pPr>
        <w:numPr>
          <w:ilvl w:val="1"/>
          <w:numId w:val="80"/>
        </w:numPr>
      </w:pPr>
      <w:r>
        <w:rPr/>
        <w:t>This Agreement may be executed with ink signatures, or electronically by Aadhaar-based e-Sign or a digital signature certificate under Sections 3A and 5 of the Information Technology Act, 2000. Electronic execution is as valid as signing in ink.</w:t>
      </w:r>
    </w:p>
    <w:p>
      <w:pPr>
        <w:numPr>
          <w:ilvl w:val="1"/>
          <w:numId w:val="80"/>
        </w:numPr>
      </w:pPr>
      <w:r>
        <w:rPr/>
        <w:t>This Agreement may be executed in counterparts, which together form one instrument. A scanned or electronically signed copy is as effective as an original. If the Parties sign on different dates, the Agreement takes effect on the date of the last signature, and any period that runs from the Execution Date runs from that date.</w:t>
      </w:r>
    </w:p>
    <w:p>
      <w:pPr>
        <w:keepNext/>
        <w:numPr>
          <w:ilvl w:val="0"/>
          <w:numId w:val="80"/>
        </w:numPr>
        <w:spacing w:before="240" w:after="80"/>
        <w:jc w:val="left"/>
      </w:pPr>
      <w:r>
        <w:rPr>
          <w:b/>
          <w:smallCaps/>
        </w:rPr>
        <w:t>General</w:t>
      </w:r>
    </w:p>
    <w:p>
      <w:pPr>
        <w:numPr>
          <w:ilvl w:val="1"/>
          <w:numId w:val="80"/>
        </w:numPr>
      </w:pPr>
      <w:r>
        <w:rPr/>
        <w:t>This Agreement is the entire agreement between the Parties on the settlement of the Facility, and replaces all earlier settlement offers and correspondence about it. The Lender’s one-time settlement sanction referred to in the Recitals is not affected.</w:t>
      </w:r>
    </w:p>
    <w:p>
      <w:pPr>
        <w:numPr>
          <w:ilvl w:val="1"/>
          <w:numId w:val="80"/>
        </w:numPr>
      </w:pPr>
      <w:r>
        <w:rPr/>
        <w:t>No amendment is valid unless it is in writing and signed by the Parties. No delay by the Lender in exercising a right is a waiver of that right. If any provision is held to be invalid, the remainder of this Agreement continues in force.</w:t>
      </w:r>
    </w:p>
    <w:p>
      <w:pPr>
        <w:numPr>
          <w:ilvl w:val="1"/>
          <w:numId w:val="80"/>
        </w:numPr>
      </w:pPr>
      <w:r>
        <w:rPr/>
        <w:t>The Lender may assign its rights under this Agreement by giving written notice to the Obligors. The Obligors may not assign their obligations.</w:t>
      </w:r>
    </w:p>
    <w:p>
      <w:pPr>
        <w:keepNext/>
        <w:numPr>
          <w:ilvl w:val="0"/>
          <w:numId w:val="80"/>
        </w:numPr>
        <w:spacing w:before="240" w:after="80"/>
        <w:jc w:val="left"/>
      </w:pPr>
      <w:r>
        <w:rPr>
          <w:b/>
          <w:smallCaps/>
        </w:rPr>
        <w:t>Governing Law, Enforcement and Jurisdiction</w:t>
      </w:r>
    </w:p>
    <w:p>
      <w:pPr>
        <w:numPr>
          <w:ilvl w:val="1"/>
          <w:numId w:val="80"/>
        </w:numPr>
      </w:pPr>
      <w:r>
        <w:rPr/>
        <w:t>This Agreement is governed by the laws of India.</w:t>
      </w:r>
    </w:p>
    <w:p>
      <w:pPr>
        <w:pStyle w:val="TemplateDirective"/>
      </w:pPr>
      <w:r>
        <w:t>[[IF mediation_act_applicable]]</w:t>
      </w:r>
    </w:p>
    <w:p>
      <w:pPr>
        <w:numPr>
          <w:ilvl w:val="1"/>
          <w:numId w:val="80"/>
        </w:numPr>
      </w:pPr>
      <w:r>
        <w:rPr/>
        <w:t>This Agreement is a mediated settlement agreement under Section 19 of the Mediation Act, 2023. Under Section 27 of that Act, it is final and binding, and may be enforced in accordance with the Code of Civil Procedure, 1908 in the same manner as if it were a judgment or decree of a court.</w:t>
      </w:r>
    </w:p>
    <w:p>
      <w:pPr>
        <w:pStyle w:val="TemplateDirective"/>
      </w:pPr>
      <w:r>
        <w:t>[[END]]</w:t>
      </w:r>
    </w:p>
    <w:p>
      <w:pPr>
        <w:pStyle w:val="TemplateDirective"/>
      </w:pPr>
      <w:r>
        <w:t>[[IF award_on_agreed_terms]]</w:t>
      </w:r>
    </w:p>
    <w:p>
      <w:pPr>
        <w:numPr>
          <w:ilvl w:val="1"/>
          <w:numId w:val="80"/>
        </w:numPr>
      </w:pPr>
      <w:r>
        <w:rPr/>
        <w:t>Once recorded as an award on agreed terms, this settlement may be enforced under Section 36 of the Arbitration and Conciliation Act, 1996.</w:t>
      </w:r>
    </w:p>
    <w:p>
      <w:pPr>
        <w:pStyle w:val="TemplateDirective"/>
      </w:pPr>
      <w:r>
        <w:t>[[END]]</w:t>
      </w:r>
    </w:p>
    <w:p>
      <w:pPr>
        <w:numPr>
          <w:ilvl w:val="1"/>
          <w:numId w:val="80"/>
        </w:numPr>
      </w:pPr>
      <w:r>
        <w:rPr/>
        <w:t xml:space="preserve">Subject to the above, the courts at </w:t>
      </w:r>
      <w:r>
        <w:rPr/>
        <w:t>{{jurisdiction_city}}</w:t>
      </w:r>
      <w:r>
        <w:rPr/>
        <w:t xml:space="preserve"> have exclusive jurisdiction over any matter arising out of this Agreement.</w:t>
      </w:r>
    </w:p>
    <w:p>
      <w:pPr>
        <w:keepNext/>
        <w:spacing w:before="200" w:after="160"/>
      </w:pPr>
      <w:r>
        <w:rPr/>
        <w:t>In witness whereof, the Parties have signed this Agreement on the dates stated below.</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2608"/>
        <w:gridCol w:w="3175"/>
        <w:gridCol w:w="3118"/>
      </w:tblGrid>
      <w:tr>
        <w:trPr>
          <w:tblHeader w:val="true"/>
          <w:cantSplit w:val="true"/>
        </w:trPr>
        <w:tc>
          <w:tcPr>
            <w:tcW w:type="dxa" w:w="2608"/>
            <w:vAlign w:val="top"/>
            <w:shd w:val="clear" w:color="auto" w:fill="E7E3DA"/>
          </w:tcPr>
          <w:p>
            <w:pPr>
              <w:keepNext/>
              <w:spacing w:after="40" w:before="20" w:line="252" w:lineRule="auto"/>
              <w:jc w:val="left"/>
            </w:pPr>
            <w:r>
              <w:rPr>
                <w:b/>
                <w:sz w:val="20"/>
              </w:rPr>
              <w:t>Party</w:t>
            </w:r>
          </w:p>
        </w:tc>
        <w:tc>
          <w:tcPr>
            <w:tcW w:type="dxa" w:w="3175"/>
            <w:vAlign w:val="top"/>
            <w:shd w:val="clear" w:color="auto" w:fill="E7E3DA"/>
          </w:tcPr>
          <w:p>
            <w:pPr>
              <w:keepNext/>
              <w:spacing w:after="40" w:before="20" w:line="252" w:lineRule="auto"/>
              <w:jc w:val="left"/>
            </w:pPr>
            <w:r>
              <w:rPr>
                <w:b/>
                <w:sz w:val="20"/>
              </w:rPr>
              <w:t>Signature</w:t>
            </w:r>
          </w:p>
        </w:tc>
        <w:tc>
          <w:tcPr>
            <w:tcW w:type="dxa" w:w="3118"/>
            <w:vAlign w:val="top"/>
            <w:shd w:val="clear" w:color="auto" w:fill="E7E3DA"/>
          </w:tcPr>
          <w:p>
            <w:pPr>
              <w:keepNext/>
              <w:spacing w:after="40" w:before="20" w:line="252" w:lineRule="auto"/>
              <w:jc w:val="left"/>
            </w:pPr>
            <w:r>
              <w:rPr>
                <w:b/>
                <w:sz w:val="20"/>
              </w:rPr>
              <w:t>Name and particulars</w:t>
            </w:r>
          </w:p>
        </w:tc>
      </w:tr>
      <w:tr>
        <w:trPr>
          <w:cantSplit w:val="true"/>
        </w:trPr>
        <w:tc>
          <w:tcPr>
            <w:tcW w:type="dxa" w:w="2608"/>
            <w:vAlign w:val="top"/>
          </w:tcPr>
          <w:p>
            <w:pPr>
              <w:keepNext/>
              <w:spacing w:after="40" w:before="20" w:line="252" w:lineRule="auto"/>
              <w:jc w:val="left"/>
            </w:pPr>
            <w:r>
              <w:rPr>
                <w:b/>
                <w:sz w:val="20"/>
              </w:rPr>
              <w:t>Lender</w:t>
            </w:r>
          </w:p>
          <w:p>
            <w:pPr>
              <w:keepNext/>
              <w:spacing w:after="40" w:before="20" w:line="252" w:lineRule="auto"/>
              <w:jc w:val="left"/>
            </w:pPr>
            <w:r>
              <w:rPr>
                <w:sz w:val="20"/>
              </w:rPr>
              <w:t xml:space="preserve">For and on behalf of </w:t>
            </w:r>
            <w:r>
              <w:rPr>
                <w:sz w:val="20"/>
              </w:rPr>
              <w:t>{{lender_name}}</w:t>
            </w:r>
          </w:p>
        </w:tc>
        <w:tc>
          <w:tcPr>
            <w:tcW w:type="dxa" w:w="3175"/>
            <w:vAlign w:val="top"/>
          </w:tcPr>
          <w:p>
            <w:pPr>
              <w:keepNext/>
              <w:spacing w:after="40" w:before="20" w:line="252" w:lineRule="auto"/>
              <w:jc w:val="left"/>
            </w:pPr>
          </w:p>
          <w:p>
            <w:pPr>
              <w:keepNext/>
              <w:spacing w:after="40" w:before="20" w:line="252" w:lineRule="auto"/>
              <w:jc w:val="left"/>
            </w:pPr>
          </w:p>
          <w:p>
            <w:pPr>
              <w:keepNext/>
              <w:spacing w:after="40" w:before="20" w:line="252" w:lineRule="auto"/>
              <w:jc w:val="left"/>
            </w:pPr>
          </w:p>
          <w:p>
            <w:pPr>
              <w:keepNext/>
              <w:spacing w:after="40" w:before="20" w:line="252" w:lineRule="auto"/>
              <w:jc w:val="left"/>
            </w:pPr>
            <w:r>
              <w:rPr>
                <w:sz w:val="20"/>
              </w:rPr>
              <w:t>______________________</w:t>
            </w:r>
          </w:p>
          <w:p>
            <w:pPr>
              <w:keepNext/>
              <w:spacing w:after="40" w:before="20" w:line="252" w:lineRule="auto"/>
              <w:jc w:val="left"/>
            </w:pPr>
            <w:r>
              <w:rPr>
                <w:sz w:val="20"/>
              </w:rPr>
              <w:t>(seal, if any)</w:t>
            </w:r>
          </w:p>
        </w:tc>
        <w:tc>
          <w:tcPr>
            <w:tcW w:type="dxa" w:w="3118"/>
            <w:vAlign w:val="top"/>
          </w:tcPr>
          <w:p>
            <w:pPr>
              <w:keepNext/>
              <w:spacing w:after="40" w:before="20" w:line="252" w:lineRule="auto"/>
              <w:jc w:val="left"/>
            </w:pPr>
            <w:r>
              <w:rPr>
                <w:sz w:val="20"/>
              </w:rPr>
              <w:t>{{lender_signatory_name}}</w:t>
            </w:r>
          </w:p>
          <w:p>
            <w:pPr>
              <w:keepNext/>
              <w:spacing w:after="40" w:before="20" w:line="252" w:lineRule="auto"/>
              <w:jc w:val="left"/>
            </w:pPr>
            <w:r>
              <w:rPr>
                <w:sz w:val="20"/>
              </w:rPr>
              <w:t>{{lender_signatory_designation}}</w:t>
            </w:r>
          </w:p>
          <w:p>
            <w:pPr>
              <w:keepNext/>
              <w:spacing w:after="40" w:before="20" w:line="252" w:lineRule="auto"/>
              <w:jc w:val="left"/>
            </w:pPr>
            <w:r>
              <w:rPr>
                <w:sz w:val="20"/>
              </w:rPr>
              <w:t xml:space="preserve">Authority: </w:t>
            </w:r>
            <w:r>
              <w:rPr>
                <w:sz w:val="20"/>
              </w:rPr>
              <w:t>{{lender_authority_document}}</w:t>
            </w:r>
            <w:r>
              <w:rPr>
                <w:sz w:val="20"/>
              </w:rPr>
              <w:t xml:space="preserve"> dated </w:t>
            </w:r>
            <w:r>
              <w:rPr>
                <w:sz w:val="20"/>
              </w:rPr>
              <w:t>{{lender_authority_date}}</w:t>
            </w:r>
          </w:p>
          <w:p>
            <w:pPr>
              <w:keepNext/>
              <w:spacing w:after="40" w:before="20" w:line="252" w:lineRule="auto"/>
              <w:jc w:val="left"/>
            </w:pPr>
            <w:r>
              <w:rPr>
                <w:sz w:val="20"/>
              </w:rPr>
              <w:t xml:space="preserve">Date: </w:t>
            </w:r>
            <w:r>
              <w:rPr>
                <w:sz w:val="20"/>
              </w:rPr>
              <w:t>{{lender_sign_date}}</w:t>
            </w:r>
          </w:p>
        </w:tc>
      </w:tr>
      <w:tr>
        <w:trPr>
          <w:cantSplit w:val="true"/>
        </w:trPr>
        <w:tc>
          <w:tcPr>
            <w:tcW w:type="dxa" w:w="2608"/>
            <w:vAlign w:val="top"/>
          </w:tcPr>
          <w:p>
            <w:pPr>
              <w:keepNext/>
              <w:spacing w:after="40" w:before="20" w:line="252" w:lineRule="auto"/>
              <w:jc w:val="left"/>
            </w:pPr>
            <w:r>
              <w:rPr>
                <w:b/>
                <w:sz w:val="20"/>
              </w:rPr>
              <w:t>Borrower</w:t>
            </w:r>
          </w:p>
        </w:tc>
        <w:tc>
          <w:tcPr>
            <w:tcW w:type="dxa" w:w="3175"/>
            <w:vAlign w:val="top"/>
          </w:tcPr>
          <w:p>
            <w:pPr>
              <w:keepNext/>
              <w:spacing w:after="40" w:before="20" w:line="252" w:lineRule="auto"/>
              <w:jc w:val="left"/>
            </w:pPr>
          </w:p>
          <w:p>
            <w:pPr>
              <w:keepNext/>
              <w:spacing w:after="40" w:before="20" w:line="252" w:lineRule="auto"/>
              <w:jc w:val="left"/>
            </w:pPr>
          </w:p>
          <w:p>
            <w:pPr>
              <w:keepNext/>
              <w:spacing w:after="40" w:before="20" w:line="252" w:lineRule="auto"/>
              <w:jc w:val="left"/>
            </w:pPr>
          </w:p>
          <w:p>
            <w:pPr>
              <w:keepNext/>
              <w:spacing w:after="40" w:before="20" w:line="252" w:lineRule="auto"/>
              <w:jc w:val="left"/>
            </w:pPr>
            <w:r>
              <w:rPr>
                <w:sz w:val="20"/>
              </w:rPr>
              <w:t>______________________</w:t>
            </w:r>
          </w:p>
        </w:tc>
        <w:tc>
          <w:tcPr>
            <w:tcW w:type="dxa" w:w="3118"/>
            <w:vAlign w:val="top"/>
          </w:tcPr>
          <w:p>
            <w:pPr>
              <w:keepNext/>
              <w:spacing w:after="40" w:before="20" w:line="252" w:lineRule="auto"/>
              <w:jc w:val="left"/>
            </w:pPr>
            <w:r>
              <w:rPr>
                <w:sz w:val="20"/>
              </w:rPr>
              <w:t>{{borrower_name}}</w:t>
            </w:r>
          </w:p>
          <w:p>
            <w:pPr>
              <w:keepNext/>
              <w:spacing w:after="40" w:before="20" w:line="252" w:lineRule="auto"/>
              <w:jc w:val="left"/>
            </w:pPr>
            <w:r>
              <w:rPr>
                <w:sz w:val="20"/>
              </w:rPr>
              <w:t xml:space="preserve">Date: </w:t>
            </w:r>
            <w:r>
              <w:rPr>
                <w:sz w:val="20"/>
              </w:rPr>
              <w:t>{{borrower_sign_date}}</w:t>
            </w:r>
          </w:p>
          <w:p>
            <w:pPr>
              <w:keepNext/>
              <w:spacing w:after="40" w:before="20" w:line="252" w:lineRule="auto"/>
              <w:jc w:val="left"/>
            </w:pPr>
            <w:r>
              <w:rPr>
                <w:sz w:val="20"/>
              </w:rPr>
              <w:t xml:space="preserve">Mode: </w:t>
            </w:r>
            <w:r>
              <w:rPr>
                <w:sz w:val="20"/>
              </w:rPr>
              <w:t>{{borrower_sign_mode}}</w:t>
            </w:r>
          </w:p>
        </w:tc>
      </w:tr>
      <w:tr>
        <w:trPr>
          <w:cantSplit w:val="true"/>
        </w:trPr>
        <w:tc>
          <w:tcPr>
            <w:tcW w:type="dxa" w:w="8901"/>
            <w:gridSpan w:val="3"/>
            <w:shd w:val="clear" w:color="auto" w:fill="EEF3F7"/>
          </w:tcPr>
          <w:p>
            <w:pPr>
              <w:pStyle w:val="TemplateDirective"/>
              <w:spacing w:before="0" w:after="0"/>
            </w:pPr>
            <w:r>
              <w:t>[[ROW obligor_signatures]]</w:t>
            </w:r>
            <w:r>
              <w:rPr>
                <w:b w:val="0"/>
                <w:i/>
              </w:rPr>
              <w:t xml:space="preserve">  repeat the next row once per entry; delete this row</w:t>
            </w:r>
          </w:p>
        </w:tc>
      </w:tr>
      <w:tr>
        <w:trPr>
          <w:cantSplit w:val="true"/>
        </w:trPr>
        <w:tc>
          <w:tcPr>
            <w:tcW w:type="dxa" w:w="2608"/>
            <w:vAlign w:val="top"/>
          </w:tcPr>
          <w:p>
            <w:pPr>
              <w:keepNext w:val="0"/>
              <w:spacing w:after="40" w:before="20" w:line="252" w:lineRule="auto"/>
              <w:jc w:val="left"/>
            </w:pPr>
            <w:r>
              <w:rPr>
                <w:b/>
                <w:sz w:val="20"/>
              </w:rPr>
              <w:t>{{obligor_capacity}}</w:t>
            </w:r>
          </w:p>
        </w:tc>
        <w:tc>
          <w:tcPr>
            <w:tcW w:type="dxa" w:w="3175"/>
            <w:vAlign w:val="top"/>
          </w:tcPr>
          <w:p>
            <w:pPr>
              <w:keepNext w:val="0"/>
              <w:spacing w:after="40" w:before="20" w:line="252" w:lineRule="auto"/>
              <w:jc w:val="left"/>
            </w:pPr>
          </w:p>
          <w:p>
            <w:pPr>
              <w:keepNext w:val="0"/>
              <w:spacing w:after="40" w:before="20" w:line="252" w:lineRule="auto"/>
              <w:jc w:val="left"/>
            </w:pPr>
          </w:p>
          <w:p>
            <w:pPr>
              <w:keepNext w:val="0"/>
              <w:spacing w:after="40" w:before="20" w:line="252" w:lineRule="auto"/>
              <w:jc w:val="left"/>
            </w:pPr>
          </w:p>
          <w:p>
            <w:pPr>
              <w:keepNext w:val="0"/>
              <w:spacing w:after="40" w:before="20" w:line="252" w:lineRule="auto"/>
              <w:jc w:val="left"/>
            </w:pPr>
            <w:r>
              <w:rPr>
                <w:sz w:val="20"/>
              </w:rPr>
              <w:t>______________________</w:t>
            </w:r>
          </w:p>
        </w:tc>
        <w:tc>
          <w:tcPr>
            <w:tcW w:type="dxa" w:w="3118"/>
            <w:vAlign w:val="top"/>
          </w:tcPr>
          <w:p>
            <w:pPr>
              <w:keepNext w:val="0"/>
              <w:spacing w:after="40" w:before="20" w:line="252" w:lineRule="auto"/>
              <w:jc w:val="left"/>
            </w:pPr>
            <w:r>
              <w:rPr>
                <w:sz w:val="20"/>
              </w:rPr>
              <w:t>{{obligor_name}}</w:t>
            </w:r>
          </w:p>
          <w:p>
            <w:pPr>
              <w:keepNext w:val="0"/>
              <w:spacing w:after="40" w:before="20" w:line="252" w:lineRule="auto"/>
              <w:jc w:val="left"/>
            </w:pPr>
            <w:r>
              <w:rPr>
                <w:sz w:val="20"/>
              </w:rPr>
              <w:t xml:space="preserve">Date: </w:t>
            </w:r>
            <w:r>
              <w:rPr>
                <w:sz w:val="20"/>
              </w:rPr>
              <w:t>{{obligor_sign_date}}</w:t>
            </w:r>
          </w:p>
          <w:p>
            <w:pPr>
              <w:keepNext w:val="0"/>
              <w:spacing w:after="40" w:before="20" w:line="252" w:lineRule="auto"/>
              <w:jc w:val="left"/>
            </w:pPr>
            <w:r>
              <w:rPr>
                <w:sz w:val="20"/>
              </w:rPr>
              <w:t xml:space="preserve">Mode: </w:t>
            </w:r>
            <w:r>
              <w:rPr>
                <w:sz w:val="20"/>
              </w:rPr>
              <w:t>{{obligor_sign_mode}}</w:t>
            </w:r>
          </w:p>
        </w:tc>
      </w:tr>
    </w:tbl>
    <w:p>
      <w:pPr>
        <w:keepNext/>
        <w:spacing w:before="240" w:after="80"/>
        <w:jc w:val="left"/>
      </w:pPr>
      <w:r>
        <w:rPr>
          <w:b/>
          <w:smallCaps/>
        </w:rPr>
        <w:t>Witnesses</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4450"/>
        <w:gridCol w:w="4450"/>
      </w:tblGrid>
      <w:tr>
        <w:trPr>
          <w:cantSplit w:val="true"/>
        </w:trPr>
        <w:tc>
          <w:tcPr>
            <w:tcW w:type="dxa" w:w="4450"/>
            <w:vAlign w:val="top"/>
          </w:tcPr>
          <w:p>
            <w:pPr>
              <w:keepNext w:val="0"/>
              <w:spacing w:after="40" w:before="20" w:line="252" w:lineRule="auto"/>
              <w:jc w:val="left"/>
            </w:pPr>
            <w:r>
              <w:rPr>
                <w:b/>
                <w:sz w:val="20"/>
              </w:rPr>
              <w:t>1.</w:t>
            </w:r>
          </w:p>
          <w:p>
            <w:pPr>
              <w:keepNext w:val="0"/>
              <w:spacing w:after="40" w:before="20" w:line="252" w:lineRule="auto"/>
              <w:jc w:val="left"/>
            </w:pPr>
          </w:p>
          <w:p>
            <w:pPr>
              <w:keepNext w:val="0"/>
              <w:spacing w:after="40" w:before="20" w:line="252" w:lineRule="auto"/>
              <w:jc w:val="left"/>
            </w:pPr>
            <w:r>
              <w:rPr>
                <w:sz w:val="20"/>
              </w:rPr>
              <w:t>Signature: ______________________</w:t>
            </w:r>
          </w:p>
          <w:p>
            <w:pPr>
              <w:keepNext w:val="0"/>
              <w:spacing w:after="40" w:before="20" w:line="252" w:lineRule="auto"/>
              <w:jc w:val="left"/>
            </w:pPr>
            <w:r>
              <w:rPr>
                <w:sz w:val="20"/>
              </w:rPr>
              <w:t xml:space="preserve">Name: </w:t>
            </w:r>
            <w:r>
              <w:rPr>
                <w:sz w:val="20"/>
              </w:rPr>
              <w:t>{{witness1_name}}</w:t>
            </w:r>
          </w:p>
          <w:p>
            <w:pPr>
              <w:keepNext w:val="0"/>
              <w:spacing w:after="40" w:before="20" w:line="252" w:lineRule="auto"/>
              <w:jc w:val="left"/>
            </w:pPr>
            <w:r>
              <w:rPr>
                <w:sz w:val="20"/>
              </w:rPr>
              <w:t xml:space="preserve">Address: </w:t>
            </w:r>
            <w:r>
              <w:rPr>
                <w:sz w:val="20"/>
              </w:rPr>
              <w:t>{{witness1_address}}</w:t>
            </w:r>
          </w:p>
        </w:tc>
        <w:tc>
          <w:tcPr>
            <w:tcW w:type="dxa" w:w="4450"/>
            <w:vAlign w:val="top"/>
          </w:tcPr>
          <w:p>
            <w:pPr>
              <w:keepNext w:val="0"/>
              <w:spacing w:after="40" w:before="20" w:line="252" w:lineRule="auto"/>
              <w:jc w:val="left"/>
            </w:pPr>
            <w:r>
              <w:rPr>
                <w:b/>
                <w:sz w:val="20"/>
              </w:rPr>
              <w:t>2.</w:t>
            </w:r>
          </w:p>
          <w:p>
            <w:pPr>
              <w:keepNext w:val="0"/>
              <w:spacing w:after="40" w:before="20" w:line="252" w:lineRule="auto"/>
              <w:jc w:val="left"/>
            </w:pPr>
          </w:p>
          <w:p>
            <w:pPr>
              <w:keepNext w:val="0"/>
              <w:spacing w:after="40" w:before="20" w:line="252" w:lineRule="auto"/>
              <w:jc w:val="left"/>
            </w:pPr>
            <w:r>
              <w:rPr>
                <w:sz w:val="20"/>
              </w:rPr>
              <w:t>Signature: ______________________</w:t>
            </w:r>
          </w:p>
          <w:p>
            <w:pPr>
              <w:keepNext w:val="0"/>
              <w:spacing w:after="40" w:before="20" w:line="252" w:lineRule="auto"/>
              <w:jc w:val="left"/>
            </w:pPr>
            <w:r>
              <w:rPr>
                <w:sz w:val="20"/>
              </w:rPr>
              <w:t xml:space="preserve">Name: </w:t>
            </w:r>
            <w:r>
              <w:rPr>
                <w:sz w:val="20"/>
              </w:rPr>
              <w:t>{{witness2_name}}</w:t>
            </w:r>
          </w:p>
          <w:p>
            <w:pPr>
              <w:keepNext w:val="0"/>
              <w:spacing w:after="40" w:before="20" w:line="252" w:lineRule="auto"/>
              <w:jc w:val="left"/>
            </w:pPr>
            <w:r>
              <w:rPr>
                <w:sz w:val="20"/>
              </w:rPr>
              <w:t xml:space="preserve">Address: </w:t>
            </w:r>
            <w:r>
              <w:rPr>
                <w:sz w:val="20"/>
              </w:rPr>
              <w:t>{{witness2_address}}</w:t>
            </w:r>
          </w:p>
        </w:tc>
      </w:tr>
    </w:tbl>
    <w:p>
      <w:pPr>
        <w:spacing w:after="80"/>
      </w:pP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8901"/>
      </w:tblGrid>
      <w:tr>
        <w:trPr>
          <w:cantSplit w:val="true"/>
        </w:trPr>
        <w:tc>
          <w:tcPr>
            <w:tcW w:type="dxa" w:w="8901"/>
            <w:vAlign w:val="top"/>
            <w:shd w:val="clear" w:color="auto" w:fill="F9F8F4"/>
          </w:tcPr>
          <w:p>
            <w:pPr>
              <w:keepNext w:val="0"/>
              <w:spacing w:after="40" w:before="20" w:line="252" w:lineRule="auto"/>
              <w:jc w:val="both"/>
            </w:pPr>
            <w:r>
              <w:rPr>
                <w:smallCaps/>
                <w:sz w:val="20"/>
              </w:rPr>
              <w:t>Mediator’s Authentication</w:t>
            </w:r>
          </w:p>
          <w:p>
            <w:pPr>
              <w:keepNext w:val="0"/>
              <w:spacing w:after="40" w:before="20" w:line="252" w:lineRule="auto"/>
              <w:jc w:val="both"/>
            </w:pPr>
            <w:r>
              <w:rPr>
                <w:sz w:val="20"/>
              </w:rPr>
              <w:t xml:space="preserve">I, </w:t>
            </w:r>
            <w:r>
              <w:rPr>
                <w:b/>
                <w:sz w:val="20"/>
              </w:rPr>
              <w:t>{{mediator_name}}</w:t>
            </w:r>
            <w:r>
              <w:rPr>
                <w:sz w:val="20"/>
              </w:rPr>
              <w:t xml:space="preserve">, the Mediator, certify as follows. The Parties named above took part in the mediation, held online on </w:t>
            </w:r>
            <w:r>
              <w:rPr>
                <w:sz w:val="20"/>
              </w:rPr>
              <w:t>{{mediation_dates}}</w:t>
            </w:r>
            <w:r>
              <w:rPr>
                <w:sz w:val="20"/>
              </w:rPr>
              <w:t xml:space="preserve">. Before the sessions, I verified each participant’s identity by </w:t>
            </w:r>
            <w:r>
              <w:rPr>
                <w:sz w:val="20"/>
              </w:rPr>
              <w:t>{{identity_verification_mode}}</w:t>
            </w:r>
            <w:r>
              <w:rPr>
                <w:sz w:val="20"/>
              </w:rPr>
              <w:t xml:space="preserve">. The settlement was reached voluntarily. Its terms were reduced to writing in this Agreement, which the Parties signed in my presence (physical or virtual) on </w:t>
            </w:r>
            <w:r>
              <w:rPr>
                <w:sz w:val="20"/>
              </w:rPr>
              <w:t>{{execution_date}}</w:t>
            </w:r>
            <w:r>
              <w:rPr>
                <w:sz w:val="20"/>
              </w:rPr>
              <w:t>. A copy has been given to each Party. I have no interest in the outcome, and I have disclosed every circumstance that might affect my independence.</w:t>
            </w:r>
          </w:p>
          <w:p>
            <w:pPr>
              <w:pStyle w:val="TemplateDirective"/>
              <w:keepNext w:val="0"/>
              <w:spacing w:after="40" w:before="20" w:line="252" w:lineRule="auto"/>
              <w:jc w:val="both"/>
            </w:pPr>
            <w:r>
              <w:t>[[IF mediation_act_applicable]]</w:t>
            </w:r>
          </w:p>
          <w:p>
            <w:pPr>
              <w:keepNext w:val="0"/>
              <w:spacing w:after="40" w:before="20" w:line="252" w:lineRule="auto"/>
              <w:jc w:val="both"/>
            </w:pPr>
            <w:r>
              <w:rPr>
                <w:sz w:val="20"/>
              </w:rPr>
              <w:t>This Agreement is authenticated by me under Section 19(1) of the Mediation Act, 2023.</w:t>
            </w:r>
          </w:p>
          <w:p>
            <w:pPr>
              <w:pStyle w:val="TemplateDirective"/>
              <w:keepNext w:val="0"/>
              <w:spacing w:after="40" w:before="20" w:line="252" w:lineRule="auto"/>
              <w:jc w:val="both"/>
            </w:pPr>
            <w:r>
              <w:t>[[END]]</w:t>
            </w:r>
          </w:p>
          <w:p>
            <w:pPr>
              <w:keepNext w:val="0"/>
              <w:spacing w:after="40" w:before="20" w:line="252" w:lineRule="auto"/>
              <w:jc w:val="both"/>
            </w:pPr>
          </w:p>
          <w:p>
            <w:pPr>
              <w:keepNext w:val="0"/>
              <w:spacing w:after="40" w:before="20" w:line="252" w:lineRule="auto"/>
              <w:jc w:val="both"/>
            </w:pPr>
          </w:p>
          <w:p>
            <w:pPr>
              <w:keepNext w:val="0"/>
              <w:spacing w:after="40" w:before="20" w:line="252" w:lineRule="auto"/>
              <w:jc w:val="both"/>
            </w:pPr>
            <w:r>
              <w:rPr>
                <w:sz w:val="20"/>
              </w:rPr>
              <w:t>______________________</w:t>
            </w:r>
          </w:p>
          <w:p>
            <w:pPr>
              <w:keepNext w:val="0"/>
              <w:spacing w:after="40" w:before="20" w:line="252" w:lineRule="auto"/>
              <w:jc w:val="both"/>
            </w:pPr>
            <w:r>
              <w:rPr>
                <w:sz w:val="20"/>
              </w:rPr>
              <w:t>{{mediator_name}}</w:t>
            </w:r>
            <w:r>
              <w:rPr>
                <w:sz w:val="20"/>
              </w:rPr>
              <w:t xml:space="preserve">, Mediator  ·  </w:t>
            </w:r>
            <w:r>
              <w:rPr>
                <w:sz w:val="20"/>
              </w:rPr>
              <w:t>{{mediator_registration_no}}</w:t>
            </w:r>
          </w:p>
          <w:p>
            <w:pPr>
              <w:keepNext w:val="0"/>
              <w:spacing w:after="40" w:before="20" w:line="252" w:lineRule="auto"/>
              <w:jc w:val="both"/>
            </w:pPr>
            <w:r>
              <w:rPr>
                <w:sz w:val="20"/>
              </w:rPr>
              <w:t xml:space="preserve">Date: </w:t>
            </w:r>
            <w:r>
              <w:rPr>
                <w:sz w:val="20"/>
              </w:rPr>
              <w:t>{{mediator_authentication_date}}</w:t>
            </w:r>
            <w:r>
              <w:rPr>
                <w:sz w:val="20"/>
              </w:rPr>
              <w:t xml:space="preserve">  ·  Place / mode: </w:t>
            </w:r>
            <w:r>
              <w:rPr>
                <w:sz w:val="20"/>
              </w:rPr>
              <w:t>{{mediator_authentication_place}}</w:t>
            </w:r>
          </w:p>
        </w:tc>
      </w:tr>
    </w:tbl>
    <w:sectPr w:rsidR="00FC693F" w:rsidRPr="0006063C" w:rsidSect="00034616">
      <w:headerReference w:type="default" r:id="rId9"/>
      <w:footerReference w:type="default" r:id="rId10"/>
      <w:footerReference w:type="first" r:id="rId11"/>
      <w:pgSz w:w="11906" w:h="16838"/>
      <w:pgMar w:top="1361" w:right="1304" w:bottom="1247" w:left="170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tabs>
        <w:tab w:pos="4680" w:val="clear"/>
        <w:tab w:pos="8901" w:val="right"/>
        <w:tab w:pos="9360" w:val="clear"/>
      </w:tabs>
      <w:spacing w:after="40"/>
      <w:jc w:val="left"/>
    </w:pPr>
    <w:r>
      <w:rPr>
        <w:color w:val="595959"/>
        <w:sz w:val="17"/>
      </w:rPr>
      <w:t>Initials:  Lender ________   Borrower ________   Co-obligor(s) ________</w:t>
      <w:tab/>
    </w: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p>
    <w:pPr>
      <w:spacing w:after="0"/>
      <w:jc w:val="center"/>
    </w:pPr>
    <w:r>
      <w:rPr>
        <w:i/>
        <w:color w:val="595959"/>
        <w:sz w:val="15"/>
      </w:rPr>
      <w:t>Prepared in mediation proceedings administered through Being Vakil ODR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tabs>
        <w:tab w:pos="4680" w:val="clear"/>
        <w:tab w:pos="8901" w:val="right"/>
        <w:tab w:pos="9360" w:val="clear"/>
      </w:tabs>
      <w:spacing w:after="40"/>
      <w:jc w:val="left"/>
    </w:pPr>
    <w:r>
      <w:rPr>
        <w:color w:val="595959"/>
        <w:sz w:val="17"/>
      </w:rPr>
      <w:t>Initials:  Lender ________   Borrower ________   Co-obligor(s) ________</w:t>
      <w:tab/>
    </w: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p>
    <w:pPr>
      <w:spacing w:after="0"/>
      <w:jc w:val="center"/>
    </w:pPr>
    <w:r>
      <w:rPr>
        <w:i/>
        <w:color w:val="595959"/>
        <w:sz w:val="15"/>
      </w:rPr>
      <w:t>Prepared in mediation proceedings administered through Being Vakil ODR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8C8C8C"/>
      </w:pBdr>
      <w:tabs>
        <w:tab w:pos="4680" w:val="clear"/>
        <w:tab w:pos="8901" w:val="right"/>
        <w:tab w:pos="9360" w:val="clear"/>
      </w:tabs>
    </w:pPr>
    <w:r>
      <w:rPr>
        <w:smallCaps/>
        <w:color w:val="595959"/>
        <w:sz w:val="18"/>
      </w:rPr>
      <w:t xml:space="preserve">Settlement Agreement · Ref. </w:t>
    </w:r>
    <w:r>
      <w:rPr>
        <w:smallCaps/>
        <w:color w:val="595959"/>
        <w:sz w:val="18"/>
      </w:rPr>
      <w:t>{{case_ref_no}}</w:t>
    </w:r>
    <w:r>
      <w:rPr>
        <w:smallCaps/>
        <w:color w:val="595959"/>
        <w:sz w:val="18"/>
      </w:rPr>
      <w:tab/>
    </w:r>
    <w:r>
      <w:rPr>
        <w:smallCaps/>
        <w:color w:val="595959"/>
        <w:sz w:val="18"/>
      </w:rPr>
      <w:t>{{lender_short_name}}</w:t>
    </w:r>
    <w:r>
      <w:rPr>
        <w:smallCaps/>
        <w:color w:val="595959"/>
        <w:sz w:val="18"/>
      </w:rPr>
      <w:t xml:space="preserve"> and </w:t>
    </w:r>
    <w:r>
      <w:rPr>
        <w:smallCaps/>
        <w:color w:val="595959"/>
        <w:sz w:val="18"/>
      </w:rPr>
      <w:t>{{borrower_name}}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hybridMultilevel"/>
    <w:lvl w:ilvl="0">
      <w:start w:val="1"/>
      <w:numFmt w:val="decimal"/>
      <w:lvlText w:val="%1."/>
      <w:lvlJc w:val="left"/>
      <w:pPr>
        <w:tabs>
          <w:tab w:val="num" w:pos="680"/>
        </w:tabs>
        <w:ind w:left="680" w:hanging="680"/>
      </w:pPr>
      <w:rPr>
        <w:rFonts w:ascii="Cambria" w:hAnsi="Cambria" w:cs="Cambria"/>
        <w:b/>
      </w:rPr>
    </w:lvl>
    <w:lvl w:ilvl="1">
      <w:start w:val="1"/>
      <w:numFmt w:val="decimal"/>
      <w:lvlText w:val="%1.%2"/>
      <w:lvlJc w:val="left"/>
      <w:pPr>
        <w:tabs>
          <w:tab w:val="num" w:pos="680"/>
        </w:tabs>
        <w:ind w:left="680" w:hanging="680"/>
      </w:pPr>
      <w:rPr>
        <w:rFonts w:ascii="Cambria" w:hAnsi="Cambria" w:cs="Cambria"/>
      </w:rPr>
    </w:lvl>
    <w:lvl w:ilvl="2">
      <w:start w:val="1"/>
      <w:numFmt w:val="lowerLetter"/>
      <w:lvlText w:val="(%3)"/>
      <w:lvlJc w:val="left"/>
      <w:pPr>
        <w:tabs>
          <w:tab w:val="num" w:pos="1250"/>
        </w:tabs>
        <w:ind w:left="1250" w:hanging="570"/>
      </w:pPr>
      <w:rPr>
        <w:rFonts w:ascii="Cambria" w:hAnsi="Cambria" w:cs="Cambria"/>
      </w:rPr>
    </w:lvl>
  </w:abstractNum>
  <w:abstractNum w:abstractNumId="81">
    <w:multiLevelType w:val="hybridMultilevel"/>
    <w:lvl w:ilvl="0">
      <w:start w:val="1"/>
      <w:numFmt w:val="upperLetter"/>
      <w:lvlText w:val="%1."/>
      <w:lvlJc w:val="left"/>
      <w:pPr>
        <w:tabs>
          <w:tab w:val="num" w:pos="680"/>
        </w:tabs>
        <w:ind w:left="680" w:hanging="680"/>
      </w:pPr>
      <w:rPr>
        <w:rFonts w:ascii="Cambria" w:hAnsi="Cambria" w:cs="Cambria"/>
        <w:b/>
      </w:rPr>
    </w:lvl>
  </w:abstractNum>
  <w:abstractNum w:abstractNumId="82">
    <w:multiLevelType w:val="hybridMultilevel"/>
    <w:lvl w:ilvl="0">
      <w:start w:val="1"/>
      <w:numFmt w:val="decimal"/>
      <w:lvlText w:val="(%1)"/>
      <w:lvlJc w:val="left"/>
      <w:pPr>
        <w:tabs>
          <w:tab w:val="num" w:pos="680"/>
        </w:tabs>
        <w:ind w:left="680" w:hanging="680"/>
      </w:pPr>
      <w:rPr>
        <w:rFonts w:ascii="Cambria" w:hAnsi="Cambria" w:cs="Cambria"/>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jc w:val="both"/>
    </w:pPr>
    <w:rPr>
      <w:rFonts w:ascii="Cambria" w:hAnsi="Cambria" w:cs="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Directive">
    <w:name w:val="Template Directive"/>
    <w:basedOn w:val="Normal"/>
    <w:pPr>
      <w:keepNext/>
      <w:spacing w:after="40" w:before="40"/>
      <w:jc w:val="left"/>
    </w:pPr>
    <w:rPr>
      <w:b/>
      <w:color w:val="1F5F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