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mallCaps/>
          <w:sz w:val="26"/>
        </w:rPr>
        <w:t>Before the {{tribunal_heading}}</w:t>
      </w:r>
    </w:p>
    <w:p>
      <w:pPr>
        <w:spacing w:after="0"/>
        <w:jc w:val="center"/>
      </w:pPr>
      <w:r>
        <w:rPr/>
        <w:t>{{arbitrator_name}}</w:t>
      </w:r>
    </w:p>
    <w:p>
      <w:pPr>
        <w:spacing w:after="200"/>
        <w:jc w:val="center"/>
      </w:pPr>
      <w:r>
        <w:rPr>
          <w:i/>
          <w:sz w:val="21"/>
        </w:rPr>
        <w:t>{{arbitrator_qualification}}</w:t>
      </w:r>
    </w:p>
    <w:p>
      <w:pPr>
        <w:spacing w:after="0"/>
        <w:jc w:val="center"/>
      </w:pPr>
      <w:r>
        <w:rPr>
          <w:smallCaps/>
          <w:sz w:val="22"/>
        </w:rPr>
        <w:t>In the matter of the Arbitration and Conciliation Act, 1996</w:t>
      </w:r>
    </w:p>
    <w:p>
      <w:pPr>
        <w:spacing w:after="0"/>
        <w:jc w:val="center"/>
      </w:pPr>
      <w:r>
        <w:rPr>
          <w:i/>
          <w:sz w:val="22"/>
        </w:rPr>
        <w:t>and</w:t>
      </w:r>
    </w:p>
    <w:p>
      <w:pPr>
        <w:spacing w:after="200"/>
        <w:jc w:val="center"/>
      </w:pPr>
      <w:r>
        <w:rPr>
          <w:smallCaps/>
          <w:sz w:val="22"/>
        </w:rPr>
        <w:t xml:space="preserve">In the matter of disputes arising under the </w:t>
      </w:r>
      <w:r>
        <w:rPr>
          <w:smallCaps/>
          <w:sz w:val="22"/>
        </w:rPr>
        <w:t>{{agreement_title}}</w:t>
      </w:r>
      <w:r>
        <w:rPr>
          <w:smallCaps/>
          <w:sz w:val="22"/>
        </w:rPr>
        <w:t xml:space="preserve"> dated </w:t>
      </w:r>
      <w:r>
        <w:rPr>
          <w:smallCaps/>
          <w:sz w:val="22"/>
        </w:rPr>
        <w:t>{{agreement_date}}</w:t>
      </w:r>
      <w:r>
        <w:rPr>
          <w:smallCaps/>
          <w:sz w:val="22"/>
        </w:rPr>
        <w:t xml:space="preserve"> in respect of </w:t>
      </w:r>
      <w:r>
        <w:rPr>
          <w:smallCaps/>
          <w:sz w:val="22"/>
        </w:rPr>
        <w:t>{{facility_type_label}}</w:t>
      </w:r>
      <w:r>
        <w:rPr>
          <w:smallCaps/>
          <w:sz w:val="22"/>
        </w:rPr>
        <w:t xml:space="preserve"> Account No. </w:t>
      </w:r>
      <w:r>
        <w:rPr>
          <w:smallCaps/>
          <w:sz w:val="22"/>
        </w:rPr>
        <w:t>{{account_no}}</w:t>
      </w:r>
    </w:p>
    <w:p>
      <w:pPr>
        <w:spacing w:after="200"/>
        <w:jc w:val="center"/>
      </w:pPr>
      <w:r>
        <w:rPr>
          <w:b/>
          <w:smallCaps/>
          <w:sz w:val="26"/>
        </w:rPr>
        <w:t xml:space="preserve">Arbitration Case No. </w:t>
      </w:r>
      <w:r>
        <w:rPr>
          <w:b/>
          <w:smallCaps/>
          <w:sz w:val="26"/>
        </w:rPr>
        <w:t>{{case_no}}</w:t>
      </w:r>
    </w:p>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CellMar>
          <w:top w:w="45" w:type="dxa"/>
          <w:bottom w:w="45" w:type="dxa"/>
          <w:left w:w="85" w:type="dxa"/>
          <w:right w:w="85" w:type="dxa"/>
        </w:tblCellMar>
      </w:tblPr>
      <w:tblGrid>
        <w:gridCol w:w="6066"/>
        <w:gridCol w:w="2835"/>
      </w:tblGrid>
      <w:tr>
        <w:trPr>
          <w:cantSplit w:val="true"/>
        </w:trPr>
        <w:tc>
          <w:tcPr>
            <w:tcW w:type="dxa" w:w="6066"/>
            <w:vAlign w:val="top"/>
          </w:tcPr>
          <w:p>
            <w:pPr>
              <w:keepNext/>
              <w:spacing w:after="40" w:before="20" w:line="252" w:lineRule="auto"/>
              <w:jc w:val="left"/>
            </w:pPr>
            <w:r>
              <w:rPr>
                <w:b/>
                <w:sz w:val="22"/>
              </w:rPr>
              <w:t>{{claimant_name}}</w:t>
            </w:r>
          </w:p>
          <w:p>
            <w:pPr>
              <w:keepNext/>
              <w:spacing w:after="40" w:before="20" w:line="252" w:lineRule="auto"/>
              <w:jc w:val="left"/>
            </w:pPr>
            <w:r>
              <w:rPr>
                <w:sz w:val="22"/>
              </w:rPr>
              <w:t>{{claimant_entity_description}}</w:t>
            </w:r>
            <w:r>
              <w:rPr>
                <w:sz w:val="22"/>
              </w:rPr>
              <w:t xml:space="preserve">, having its registered office at </w:t>
            </w:r>
            <w:r>
              <w:rPr>
                <w:sz w:val="22"/>
              </w:rPr>
              <w:t>{{claimant_registered_office}}</w:t>
            </w:r>
            <w:r>
              <w:rPr>
                <w:sz w:val="22"/>
              </w:rPr>
              <w:t xml:space="preserve"> and, for the purposes of this matter, its office at </w:t>
            </w:r>
            <w:r>
              <w:rPr>
                <w:sz w:val="22"/>
              </w:rPr>
              <w:t>{{claimant_branch_address}}</w:t>
            </w:r>
            <w:r>
              <w:rPr>
                <w:sz w:val="22"/>
              </w:rPr>
              <w:t xml:space="preserve">, acting through its authorised representative </w:t>
            </w:r>
            <w:r>
              <w:rPr>
                <w:sz w:val="22"/>
              </w:rPr>
              <w:t>{{claimant_ar_name}}</w:t>
            </w:r>
            <w:r>
              <w:rPr>
                <w:sz w:val="22"/>
              </w:rPr>
              <w:t xml:space="preserve">, </w:t>
            </w:r>
            <w:r>
              <w:rPr>
                <w:sz w:val="22"/>
              </w:rPr>
              <w:t>{{claimant_ar_designation}}</w:t>
            </w:r>
          </w:p>
        </w:tc>
        <w:tc>
          <w:tcPr>
            <w:tcW w:type="dxa" w:w="2835"/>
            <w:vAlign w:val="top"/>
          </w:tcPr>
          <w:p>
            <w:pPr>
              <w:keepNext/>
              <w:spacing w:after="40" w:before="20" w:line="252" w:lineRule="auto"/>
              <w:jc w:val="right"/>
            </w:pPr>
          </w:p>
          <w:p>
            <w:pPr>
              <w:keepNext/>
              <w:spacing w:after="40" w:before="20" w:line="252" w:lineRule="auto"/>
              <w:jc w:val="right"/>
            </w:pPr>
            <w:r>
              <w:rPr>
                <w:sz w:val="22"/>
              </w:rPr>
              <w:t>… Claimant</w:t>
            </w:r>
          </w:p>
        </w:tc>
      </w:tr>
      <w:tr>
        <w:trPr>
          <w:cantSplit w:val="true"/>
        </w:trPr>
        <w:tc>
          <w:tcPr>
            <w:tcW w:type="dxa" w:w="8901"/>
            <w:gridSpan w:val="2"/>
            <w:vAlign w:val="top"/>
          </w:tcPr>
          <w:p>
            <w:pPr>
              <w:keepNext/>
              <w:spacing w:after="40" w:before="20" w:line="252" w:lineRule="auto"/>
              <w:jc w:val="center"/>
            </w:pPr>
            <w:r>
              <w:rPr>
                <w:i/>
                <w:sz w:val="22"/>
              </w:rPr>
              <w:t>Versus</w:t>
            </w:r>
          </w:p>
        </w:tc>
      </w:tr>
      <w:tr>
        <w:trPr>
          <w:cantSplit w:val="true"/>
        </w:trPr>
        <w:tc>
          <w:tcPr>
            <w:tcW w:type="dxa" w:w="6066"/>
            <w:vAlign w:val="top"/>
          </w:tcPr>
          <w:p>
            <w:pPr>
              <w:keepNext/>
              <w:spacing w:after="40" w:before="20" w:line="252" w:lineRule="auto"/>
              <w:jc w:val="left"/>
            </w:pPr>
            <w:r>
              <w:rPr>
                <w:b/>
                <w:sz w:val="22"/>
              </w:rPr>
              <w:t>{{respondent_name}}</w:t>
            </w:r>
          </w:p>
          <w:p>
            <w:pPr>
              <w:keepNext/>
              <w:spacing w:after="40" w:before="20" w:line="252" w:lineRule="auto"/>
              <w:jc w:val="left"/>
            </w:pPr>
            <w:r>
              <w:rPr>
                <w:sz w:val="22"/>
              </w:rPr>
              <w:t xml:space="preserve">residing at </w:t>
            </w:r>
            <w:r>
              <w:rPr>
                <w:sz w:val="22"/>
              </w:rPr>
              <w:t>{{respondent_address}}</w:t>
            </w:r>
          </w:p>
          <w:p>
            <w:pPr>
              <w:keepNext/>
              <w:spacing w:after="40" w:before="20" w:line="252" w:lineRule="auto"/>
              <w:jc w:val="left"/>
            </w:pPr>
            <w:r>
              <w:rPr>
                <w:sz w:val="22"/>
              </w:rPr>
              <w:t xml:space="preserve">PAN: </w:t>
            </w:r>
            <w:r>
              <w:rPr>
                <w:sz w:val="22"/>
              </w:rPr>
              <w:t>{{respondent_pan}}</w:t>
            </w:r>
            <w:r>
              <w:rPr>
                <w:sz w:val="22"/>
              </w:rPr>
              <w:t xml:space="preserve">  |  Mobile: </w:t>
            </w:r>
            <w:r>
              <w:rPr>
                <w:sz w:val="22"/>
              </w:rPr>
              <w:t>{{respondent_mobile}}</w:t>
            </w:r>
            <w:r>
              <w:rPr>
                <w:sz w:val="22"/>
              </w:rPr>
              <w:t xml:space="preserve">  |  E-mail: </w:t>
            </w:r>
            <w:r>
              <w:rPr>
                <w:sz w:val="22"/>
              </w:rPr>
              <w:t>{{respondent_email}}</w:t>
            </w:r>
          </w:p>
        </w:tc>
        <w:tc>
          <w:tcPr>
            <w:tcW w:type="dxa" w:w="2835"/>
            <w:vAlign w:val="top"/>
          </w:tcPr>
          <w:p>
            <w:pPr>
              <w:keepNext/>
              <w:spacing w:after="40" w:before="20" w:line="252" w:lineRule="auto"/>
              <w:jc w:val="right"/>
            </w:pPr>
          </w:p>
          <w:p>
            <w:pPr>
              <w:keepNext/>
              <w:spacing w:after="40" w:before="20" w:line="252" w:lineRule="auto"/>
              <w:jc w:val="right"/>
            </w:pPr>
            <w:r>
              <w:rPr>
                <w:sz w:val="22"/>
              </w:rPr>
              <w:t>… Respondent No. 1</w:t>
            </w:r>
          </w:p>
        </w:tc>
      </w:tr>
      <w:tr>
        <w:trPr>
          <w:cantSplit w:val="true"/>
        </w:trPr>
        <w:tc>
          <w:tcPr>
            <w:tcW w:type="dxa" w:w="8901"/>
            <w:gridSpan w:val="2"/>
            <w:shd w:val="clear" w:color="auto" w:fill="EEF3F7"/>
          </w:tcPr>
          <w:p>
            <w:pPr>
              <w:pStyle w:val="TemplateDirective"/>
              <w:spacing w:before="0" w:after="0"/>
            </w:pPr>
            <w:r>
              <w:t>[[ROW co_respondents]]</w:t>
            </w:r>
            <w:r>
              <w:rPr>
                <w:b w:val="0"/>
                <w:i/>
              </w:rPr>
              <w:t xml:space="preserve">  repeat the next row once per entry; delete this row</w:t>
            </w:r>
          </w:p>
        </w:tc>
      </w:tr>
      <w:tr>
        <w:trPr>
          <w:cantSplit w:val="true"/>
        </w:trPr>
        <w:tc>
          <w:tcPr>
            <w:tcW w:type="dxa" w:w="6066"/>
            <w:vAlign w:val="top"/>
          </w:tcPr>
          <w:p>
            <w:pPr>
              <w:keepNext/>
              <w:spacing w:after="40" w:before="20" w:line="252" w:lineRule="auto"/>
              <w:jc w:val="left"/>
            </w:pPr>
            <w:r>
              <w:rPr>
                <w:b/>
                <w:sz w:val="22"/>
              </w:rPr>
              <w:t>{{co_respondent_name}}</w:t>
            </w:r>
          </w:p>
          <w:p>
            <w:pPr>
              <w:keepNext/>
              <w:spacing w:after="40" w:before="20" w:line="252" w:lineRule="auto"/>
              <w:jc w:val="left"/>
            </w:pPr>
            <w:r>
              <w:rPr>
                <w:sz w:val="22"/>
              </w:rPr>
              <w:t>{{co_respondent_capacity}}</w:t>
            </w:r>
            <w:r>
              <w:rPr>
                <w:sz w:val="22"/>
              </w:rPr>
              <w:t xml:space="preserve">, residing at </w:t>
            </w:r>
            <w:r>
              <w:rPr>
                <w:sz w:val="22"/>
              </w:rPr>
              <w:t>{{co_respondent_address}}</w:t>
            </w:r>
          </w:p>
          <w:p>
            <w:pPr>
              <w:keepNext/>
              <w:spacing w:after="40" w:before="20" w:line="252" w:lineRule="auto"/>
              <w:jc w:val="left"/>
            </w:pPr>
            <w:r>
              <w:rPr>
                <w:sz w:val="22"/>
              </w:rPr>
              <w:t xml:space="preserve">PAN: </w:t>
            </w:r>
            <w:r>
              <w:rPr>
                <w:sz w:val="22"/>
              </w:rPr>
              <w:t>{{co_respondent_pan}}</w:t>
            </w:r>
            <w:r>
              <w:rPr>
                <w:sz w:val="22"/>
              </w:rPr>
              <w:t xml:space="preserve">  |  Mobile: </w:t>
            </w:r>
            <w:r>
              <w:rPr>
                <w:sz w:val="22"/>
              </w:rPr>
              <w:t>{{co_respondent_mobile}}</w:t>
            </w:r>
            <w:r>
              <w:rPr>
                <w:sz w:val="22"/>
              </w:rPr>
              <w:t xml:space="preserve">  |  E-mail: </w:t>
            </w:r>
            <w:r>
              <w:rPr>
                <w:sz w:val="22"/>
              </w:rPr>
              <w:t>{{co_respondent_email}}</w:t>
            </w:r>
          </w:p>
        </w:tc>
        <w:tc>
          <w:tcPr>
            <w:tcW w:type="dxa" w:w="2835"/>
            <w:vAlign w:val="top"/>
          </w:tcPr>
          <w:p>
            <w:pPr>
              <w:keepNext/>
              <w:spacing w:after="40" w:before="20" w:line="252" w:lineRule="auto"/>
              <w:jc w:val="right"/>
            </w:pPr>
          </w:p>
          <w:p>
            <w:pPr>
              <w:keepNext/>
              <w:spacing w:after="40" w:before="20" w:line="252" w:lineRule="auto"/>
              <w:jc w:val="right"/>
            </w:pPr>
            <w:r>
              <w:rPr>
                <w:sz w:val="22"/>
              </w:rPr>
              <w:t xml:space="preserve">… Respondent No. </w:t>
            </w:r>
            <w:r>
              <w:rPr>
                <w:sz w:val="22"/>
              </w:rPr>
              <w:t>{{co_respondent_no}}</w:t>
            </w:r>
          </w:p>
        </w:tc>
      </w:tr>
    </w:tbl>
    <w:p>
      <w:pPr>
        <w:spacing w:after="40"/>
      </w:pPr>
    </w:p>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CellMar>
          <w:top w:w="45" w:type="dxa"/>
          <w:bottom w:w="45" w:type="dxa"/>
          <w:left w:w="85" w:type="dxa"/>
          <w:right w:w="85" w:type="dxa"/>
        </w:tblCellMar>
      </w:tblPr>
      <w:tblGrid>
        <w:gridCol w:w="2268"/>
        <w:gridCol w:w="6633"/>
      </w:tblGrid>
      <w:tr>
        <w:trPr>
          <w:cantSplit w:val="true"/>
        </w:trPr>
        <w:tc>
          <w:tcPr>
            <w:tcW w:type="dxa" w:w="2268"/>
            <w:vAlign w:val="top"/>
            <w:tcBorders>
              <w:top w:val="single" w:sz="2" w:color="BFBFBF"/>
            </w:tcBorders>
          </w:tcPr>
          <w:p>
            <w:pPr>
              <w:keepNext/>
              <w:spacing w:after="40" w:before="20" w:line="252" w:lineRule="auto"/>
              <w:jc w:val="left"/>
            </w:pPr>
            <w:r>
              <w:rPr>
                <w:b/>
                <w:smallCaps/>
                <w:sz w:val="21"/>
              </w:rPr>
              <w:t>Appearances</w:t>
            </w:r>
          </w:p>
        </w:tc>
        <w:tc>
          <w:tcPr>
            <w:tcW w:type="dxa" w:w="6633"/>
            <w:vAlign w:val="top"/>
            <w:tcBorders>
              <w:top w:val="single" w:sz="2" w:color="BFBFBF"/>
            </w:tcBorders>
          </w:tcPr>
          <w:p>
            <w:pPr>
              <w:keepNext/>
              <w:spacing w:after="40" w:before="20" w:line="252" w:lineRule="auto"/>
              <w:jc w:val="left"/>
            </w:pPr>
          </w:p>
        </w:tc>
      </w:tr>
      <w:tr>
        <w:trPr>
          <w:cantSplit w:val="true"/>
        </w:trPr>
        <w:tc>
          <w:tcPr>
            <w:tcW w:type="dxa" w:w="2268"/>
            <w:vAlign w:val="top"/>
            <w:tcBorders>
              <w:top w:val="single" w:sz="2" w:color="BFBFBF"/>
            </w:tcBorders>
          </w:tcPr>
          <w:p>
            <w:pPr>
              <w:keepNext/>
              <w:spacing w:after="40" w:before="20" w:line="252" w:lineRule="auto"/>
              <w:jc w:val="left"/>
            </w:pPr>
            <w:r>
              <w:rPr>
                <w:sz w:val="21"/>
              </w:rPr>
              <w:t>For the Claimant</w:t>
            </w:r>
          </w:p>
        </w:tc>
        <w:tc>
          <w:tcPr>
            <w:tcW w:type="dxa" w:w="6633"/>
            <w:vAlign w:val="top"/>
            <w:tcBorders>
              <w:top w:val="single" w:sz="2" w:color="BFBFBF"/>
            </w:tcBorders>
          </w:tcPr>
          <w:p>
            <w:pPr>
              <w:keepNext/>
              <w:spacing w:after="40" w:before="20" w:line="252" w:lineRule="auto"/>
              <w:jc w:val="left"/>
            </w:pPr>
            <w:r>
              <w:rPr>
                <w:sz w:val="21"/>
              </w:rPr>
              <w:t>{{claimant_counsel_name}}</w:t>
            </w:r>
            <w:r>
              <w:rPr>
                <w:sz w:val="21"/>
              </w:rPr>
              <w:t xml:space="preserve">, Advocate, with </w:t>
            </w:r>
            <w:r>
              <w:rPr>
                <w:sz w:val="21"/>
              </w:rPr>
              <w:t>{{claimant_ar_name}}</w:t>
            </w:r>
            <w:r>
              <w:rPr>
                <w:sz w:val="21"/>
              </w:rPr>
              <w:t>, authorised representative</w:t>
            </w:r>
          </w:p>
        </w:tc>
      </w:tr>
      <w:tr>
        <w:trPr>
          <w:cantSplit w:val="true"/>
        </w:trPr>
        <w:tc>
          <w:tcPr>
            <w:tcW w:type="dxa" w:w="2268"/>
            <w:vAlign w:val="top"/>
            <w:tcBorders>
              <w:top w:val="single" w:sz="2" w:color="BFBFBF"/>
            </w:tcBorders>
          </w:tcPr>
          <w:p>
            <w:pPr>
              <w:keepNext/>
              <w:spacing w:after="40" w:before="20" w:line="252" w:lineRule="auto"/>
              <w:jc w:val="left"/>
            </w:pPr>
            <w:r>
              <w:rPr>
                <w:sz w:val="21"/>
              </w:rPr>
              <w:t>For the Respondent</w:t>
            </w:r>
          </w:p>
        </w:tc>
        <w:tc>
          <w:tcPr>
            <w:tcW w:type="dxa" w:w="6633"/>
            <w:vAlign w:val="top"/>
            <w:tcBorders>
              <w:top w:val="single" w:sz="2" w:color="BFBFBF"/>
            </w:tcBorders>
          </w:tcPr>
          <w:p>
            <w:pPr>
              <w:pStyle w:val="TemplateDirective"/>
              <w:keepNext/>
              <w:spacing w:after="40" w:before="20" w:line="252" w:lineRule="auto"/>
              <w:jc w:val="left"/>
            </w:pPr>
            <w:r>
              <w:t>[[IF ex_parte]]</w:t>
            </w:r>
          </w:p>
          <w:p>
            <w:pPr>
              <w:keepNext/>
              <w:spacing w:after="40" w:before="20" w:line="252" w:lineRule="auto"/>
              <w:jc w:val="left"/>
            </w:pPr>
            <w:r>
              <w:rPr>
                <w:sz w:val="21"/>
              </w:rPr>
              <w:t>None, despite service (proceeded under Section 25 of the Act)</w:t>
            </w:r>
          </w:p>
          <w:p>
            <w:pPr>
              <w:pStyle w:val="TemplateDirective"/>
              <w:keepNext/>
              <w:spacing w:after="40" w:before="20" w:line="252" w:lineRule="auto"/>
              <w:jc w:val="left"/>
            </w:pPr>
            <w:r>
              <w:t>[[ELSE]]</w:t>
            </w:r>
          </w:p>
          <w:p>
            <w:pPr>
              <w:keepNext/>
              <w:spacing w:after="40" w:before="20" w:line="252" w:lineRule="auto"/>
              <w:jc w:val="left"/>
            </w:pPr>
            <w:r>
              <w:rPr>
                <w:sz w:val="21"/>
              </w:rPr>
              <w:t>{{respondent_appearance}}</w:t>
            </w:r>
          </w:p>
          <w:p>
            <w:pPr>
              <w:pStyle w:val="TemplateDirective"/>
              <w:keepNext/>
              <w:spacing w:after="40" w:before="20" w:line="252" w:lineRule="auto"/>
              <w:jc w:val="left"/>
            </w:pPr>
            <w:r>
              <w:t>[[END]]</w:t>
            </w:r>
          </w:p>
        </w:tc>
      </w:tr>
    </w:tbl>
    <w:p>
      <w:pPr>
        <w:spacing w:before="320" w:after="0"/>
        <w:jc w:val="center"/>
      </w:pPr>
      <w:r>
        <w:rPr>
          <w:b/>
          <w:smallCaps/>
          <w:sz w:val="32"/>
        </w:rPr>
        <w:t>Final Arbitral Award</w:t>
      </w:r>
    </w:p>
    <w:p>
      <w:pPr>
        <w:spacing w:after="40"/>
        <w:jc w:val="center"/>
      </w:pPr>
      <w:r>
        <w:rPr>
          <w:i/>
          <w:sz w:val="21"/>
        </w:rPr>
        <w:t>made under Section 31 of the Arbitration and Conciliation Act, 1996</w:t>
      </w:r>
    </w:p>
    <w:p>
      <w:pPr>
        <w:pBdr>
          <w:bottom w:val="single" w:sz="8" w:space="6" w:color="000000"/>
        </w:pBdr>
        <w:spacing w:after="240"/>
        <w:jc w:val="center"/>
      </w:pPr>
      <w:r>
        <w:rPr>
          <w:sz w:val="21"/>
        </w:rPr>
        <w:t xml:space="preserve">Seat: </w:t>
      </w:r>
      <w:r>
        <w:rPr>
          <w:sz w:val="21"/>
        </w:rPr>
        <w:t>{{seat_city}}</w:t>
      </w:r>
      <w:r>
        <w:rPr>
          <w:sz w:val="21"/>
        </w:rPr>
        <w:t xml:space="preserve">   ·   Date of Award: </w:t>
      </w:r>
      <w:r>
        <w:rPr>
          <w:sz w:val="21"/>
        </w:rPr>
        <w:t>{{award_date}}</w:t>
      </w:r>
    </w:p>
    <w:p>
      <w:pPr>
        <w:keepNext/>
        <w:spacing w:before="280" w:after="120"/>
        <w:jc w:val="left"/>
      </w:pPr>
      <w:r>
        <w:rPr>
          <w:b/>
          <w:smallCaps/>
          <w:sz w:val="24"/>
        </w:rPr>
        <w:t>A. Preliminary</w:t>
      </w:r>
    </w:p>
    <w:p>
      <w:pPr>
        <w:numPr>
          <w:ilvl w:val="0"/>
          <w:numId w:val="80"/>
        </w:numPr>
      </w:pPr>
      <w:r>
        <w:rPr/>
        <w:t>This Final Award determines the disputes referred to the undersigned, as Sole Arbitrator (the “</w:t>
      </w:r>
      <w:r>
        <w:rPr>
          <w:b/>
        </w:rPr>
        <w:t>Tribunal</w:t>
      </w:r>
      <w:r>
        <w:rPr/>
        <w:t xml:space="preserve">”), between the Claimant and the Respondent arising out of the </w:t>
      </w:r>
      <w:r>
        <w:rPr/>
        <w:t>{{facility_type_label}}</w:t>
      </w:r>
      <w:r>
        <w:rPr/>
        <w:t xml:space="preserve"> extended by the Claimant under the </w:t>
      </w:r>
      <w:r>
        <w:rPr/>
        <w:t>{{agreement_title}}</w:t>
      </w:r>
      <w:r>
        <w:rPr/>
        <w:t xml:space="preserve"> dated </w:t>
      </w:r>
      <w:r>
        <w:rPr/>
        <w:t>{{agreement_date}}</w:t>
      </w:r>
      <w:r>
        <w:rPr/>
        <w:t xml:space="preserve"> (the “</w:t>
      </w:r>
      <w:r>
        <w:rPr>
          <w:b/>
        </w:rPr>
        <w:t>Agreement</w:t>
      </w:r>
      <w:r>
        <w:rPr/>
        <w:t>”). References to the “</w:t>
      </w:r>
      <w:r>
        <w:rPr>
          <w:b/>
        </w:rPr>
        <w:t>Act</w:t>
      </w:r>
      <w:r>
        <w:rPr/>
        <w:t>” are to the Arbitration and Conciliation Act, 1996. Where more than one respondent is arrayed in the cause title, references to the “</w:t>
      </w:r>
      <w:r>
        <w:rPr>
          <w:b/>
        </w:rPr>
        <w:t>Respondent</w:t>
      </w:r>
      <w:r>
        <w:rPr/>
        <w:t>” include each of them, and their liability under this Award is joint and several.</w:t>
      </w:r>
    </w:p>
    <w:p>
      <w:pPr>
        <w:numPr>
          <w:ilvl w:val="0"/>
          <w:numId w:val="80"/>
        </w:numPr>
      </w:pPr>
      <w:r>
        <w:rPr/>
        <w:t xml:space="preserve">The Claimant, </w:t>
      </w:r>
      <w:r>
        <w:rPr/>
        <w:t>{{claimant_name}}</w:t>
      </w:r>
      <w:r>
        <w:rPr/>
        <w:t xml:space="preserve">, is </w:t>
      </w:r>
      <w:r>
        <w:rPr/>
        <w:t>{{claimant_entity_description}}</w:t>
      </w:r>
      <w:r>
        <w:rPr/>
        <w:t xml:space="preserve">. It has prosecuted these proceedings through </w:t>
      </w:r>
      <w:r>
        <w:rPr/>
        <w:t>{{claimant_ar_name}}</w:t>
      </w:r>
      <w:r>
        <w:rPr/>
        <w:t xml:space="preserve">, </w:t>
      </w:r>
      <w:r>
        <w:rPr/>
        <w:t>{{claimant_ar_designation}}</w:t>
      </w:r>
      <w:r>
        <w:rPr/>
        <w:t xml:space="preserve">, whose authority is evidenced by </w:t>
      </w:r>
      <w:r>
        <w:rPr/>
        <w:t>{{claimant_authority_document}}</w:t>
      </w:r>
      <w:r>
        <w:rPr/>
        <w:t xml:space="preserve"> dated </w:t>
      </w:r>
      <w:r>
        <w:rPr/>
        <w:t>{{claimant_authority_date}}</w:t>
      </w:r>
      <w:r>
        <w:rPr/>
        <w:t>, placed on record.</w:t>
      </w:r>
    </w:p>
    <w:p>
      <w:pPr>
        <w:pStyle w:val="TemplateDirective"/>
      </w:pPr>
      <w:r>
        <w:t>[[IF personal_loan]]</w:t>
      </w:r>
    </w:p>
    <w:p>
      <w:pPr>
        <w:numPr>
          <w:ilvl w:val="0"/>
          <w:numId w:val="80"/>
        </w:numPr>
      </w:pPr>
      <w:r>
        <w:rPr/>
        <w:t xml:space="preserve">On the Respondent’s application dated </w:t>
      </w:r>
      <w:r>
        <w:rPr/>
        <w:t>{{application_date}}</w:t>
      </w:r>
      <w:r>
        <w:rPr/>
        <w:t xml:space="preserve">, the Claimant sanctioned a personal loan of Rs. </w:t>
      </w:r>
      <w:r>
        <w:rPr/>
        <w:t>{{loan_amount}}</w:t>
      </w:r>
      <w:r>
        <w:rPr/>
        <w:t xml:space="preserve">/- under Loan Account No. </w:t>
      </w:r>
      <w:r>
        <w:rPr/>
        <w:t>{{account_no}}</w:t>
      </w:r>
      <w:r>
        <w:rPr/>
        <w:t xml:space="preserve">, carrying interest at </w:t>
      </w:r>
      <w:r>
        <w:rPr/>
        <w:t>{{contract_interest_rate}}</w:t>
      </w:r>
      <w:r>
        <w:rPr/>
        <w:t xml:space="preserve">% per annum and repayable in </w:t>
      </w:r>
      <w:r>
        <w:rPr/>
        <w:t>{{emi_tenure_months}}</w:t>
      </w:r>
      <w:r>
        <w:rPr/>
        <w:t xml:space="preserve"> equated monthly instalments (“</w:t>
      </w:r>
      <w:r>
        <w:rPr>
          <w:b/>
        </w:rPr>
        <w:t>EMIs</w:t>
      </w:r>
      <w:r>
        <w:rPr/>
        <w:t xml:space="preserve">”) of Rs. </w:t>
      </w:r>
      <w:r>
        <w:rPr/>
        <w:t>{{emi_amount}}</w:t>
      </w:r>
      <w:r>
        <w:rPr/>
        <w:t xml:space="preserve">/- each. The loan was disbursed on </w:t>
      </w:r>
      <w:r>
        <w:rPr/>
        <w:t>{{disbursement_date}}</w:t>
      </w:r>
      <w:r>
        <w:rPr/>
        <w:t xml:space="preserve"> to the Respondent’s account with </w:t>
      </w:r>
      <w:r>
        <w:rPr/>
        <w:t>{{disbursement_bank_account}}</w:t>
      </w:r>
      <w:r>
        <w:rPr/>
        <w:t>.</w:t>
      </w:r>
    </w:p>
    <w:p>
      <w:pPr>
        <w:pStyle w:val="TemplateDirective"/>
      </w:pPr>
      <w:r>
        <w:t>[[END]]</w:t>
      </w:r>
    </w:p>
    <w:p>
      <w:pPr>
        <w:pStyle w:val="TemplateDirective"/>
      </w:pPr>
      <w:r>
        <w:t>[[IF credit_card]]</w:t>
      </w:r>
    </w:p>
    <w:p>
      <w:pPr>
        <w:numPr>
          <w:ilvl w:val="0"/>
          <w:numId w:val="80"/>
        </w:numPr>
      </w:pPr>
      <w:r>
        <w:rPr/>
        <w:t xml:space="preserve">On the Respondent’s application dated </w:t>
      </w:r>
      <w:r>
        <w:rPr/>
        <w:t>{{application_date}}</w:t>
      </w:r>
      <w:r>
        <w:rPr/>
        <w:t xml:space="preserve">, the Claimant issued a credit card bearing No. </w:t>
      </w:r>
      <w:r>
        <w:rPr/>
        <w:t>{{account_no}}</w:t>
      </w:r>
      <w:r>
        <w:rPr/>
        <w:t xml:space="preserve"> (recorded here in masked form) with a credit limit of Rs. </w:t>
      </w:r>
      <w:r>
        <w:rPr/>
        <w:t>{{credit_limit}}</w:t>
      </w:r>
      <w:r>
        <w:rPr/>
        <w:t>/-. The card account is governed by the Agreement read with the Most Important Terms and Conditions (“</w:t>
      </w:r>
      <w:r>
        <w:rPr>
          <w:b/>
        </w:rPr>
        <w:t>MITC</w:t>
      </w:r>
      <w:r>
        <w:rPr/>
        <w:t>”) published by the Claimant. The Respondent activated and used the card, and monthly statements were issued to the Respondent’s registered address and e-mail.</w:t>
      </w:r>
    </w:p>
    <w:p>
      <w:pPr>
        <w:pStyle w:val="TemplateDirective"/>
      </w:pPr>
      <w:r>
        <w:t>[[END]]</w:t>
      </w:r>
    </w:p>
    <w:p>
      <w:pPr>
        <w:keepNext/>
        <w:spacing w:before="280" w:after="120"/>
        <w:jc w:val="left"/>
      </w:pPr>
      <w:r>
        <w:rPr>
          <w:b/>
          <w:smallCaps/>
          <w:sz w:val="24"/>
        </w:rPr>
        <w:t>B. The Arbitration Agreement</w:t>
      </w:r>
    </w:p>
    <w:p>
      <w:pPr>
        <w:numPr>
          <w:ilvl w:val="0"/>
          <w:numId w:val="80"/>
        </w:numPr>
      </w:pPr>
      <w:r>
        <w:rPr/>
        <w:t xml:space="preserve">Clause </w:t>
      </w:r>
      <w:r>
        <w:rPr/>
        <w:t>{{arbitration_clause_no}}</w:t>
      </w:r>
      <w:r>
        <w:rPr/>
        <w:t xml:space="preserve"> of the Agreement contains the arbitration agreement between the parties. In material part, it reads:</w:t>
      </w:r>
    </w:p>
    <w:p>
      <w:pPr>
        <w:spacing w:after="160"/>
        <w:ind w:left="1247" w:right="680"/>
      </w:pPr>
      <w:r>
        <w:rPr>
          <w:i/>
          <w:sz w:val="22"/>
        </w:rPr>
        <w:t>“</w:t>
      </w:r>
      <w:r>
        <w:rPr>
          <w:i/>
          <w:sz w:val="22"/>
        </w:rPr>
        <w:t>{{arbitration_clause_text}}</w:t>
      </w:r>
      <w:r>
        <w:rPr>
          <w:i/>
          <w:sz w:val="22"/>
        </w:rPr>
        <w:t>”</w:t>
      </w:r>
    </w:p>
    <w:p>
      <w:pPr>
        <w:numPr>
          <w:ilvl w:val="0"/>
          <w:numId w:val="80"/>
        </w:numPr>
      </w:pPr>
      <w:r>
        <w:rPr/>
        <w:t xml:space="preserve">The arbitration agreement is in writing and forms part of a document executed by the parties, whether physically or electronically, and therefore satisfies Section 7 of the Act. The disputes concern the recovery of a money debt under a private contract; they are rights </w:t>
      </w:r>
      <w:r>
        <w:rPr>
          <w:i/>
        </w:rPr>
        <w:t>in personam</w:t>
      </w:r>
      <w:r>
        <w:rPr/>
        <w:t>, fall within the scope of the clause, and are arbitrable.</w:t>
      </w:r>
    </w:p>
    <w:p>
      <w:pPr>
        <w:keepNext/>
        <w:spacing w:before="280" w:after="120"/>
        <w:jc w:val="left"/>
      </w:pPr>
      <w:r>
        <w:rPr>
          <w:b/>
          <w:smallCaps/>
          <w:sz w:val="24"/>
        </w:rPr>
        <w:t>C. Invocation and Constitution of the Tribunal</w:t>
      </w:r>
    </w:p>
    <w:p>
      <w:pPr>
        <w:numPr>
          <w:ilvl w:val="0"/>
          <w:numId w:val="80"/>
        </w:numPr>
      </w:pPr>
      <w:r>
        <w:rPr/>
        <w:t xml:space="preserve">Upon the Respondent’s default, the Claimant issued a notice dated </w:t>
      </w:r>
      <w:r>
        <w:rPr/>
        <w:t>{{sec21_notice_date}}</w:t>
      </w:r>
      <w:r>
        <w:rPr/>
        <w:t xml:space="preserve"> invoking arbitration and calling upon the Respondent to concur in the reference (the “</w:t>
      </w:r>
      <w:r>
        <w:rPr>
          <w:b/>
        </w:rPr>
        <w:t>Invocation Notice</w:t>
      </w:r>
      <w:r>
        <w:rPr/>
        <w:t xml:space="preserve">”). The Invocation Notice was dispatched by </w:t>
      </w:r>
      <w:r>
        <w:rPr/>
        <w:t>{{sec21_notice_mode}}</w:t>
      </w:r>
      <w:r>
        <w:rPr/>
        <w:t xml:space="preserve"> and was delivered on </w:t>
      </w:r>
      <w:r>
        <w:rPr/>
        <w:t>{{sec21_delivery_date}}</w:t>
      </w:r>
      <w:r>
        <w:rPr/>
        <w:t xml:space="preserve"> (proof: </w:t>
      </w:r>
      <w:r>
        <w:rPr/>
        <w:t>{{sec21_proof_ref}}</w:t>
      </w:r>
      <w:r>
        <w:rPr/>
        <w:t>). In terms of Section 21 of the Act, the arbitral proceedings commenced on that date.</w:t>
      </w:r>
    </w:p>
    <w:p>
      <w:pPr>
        <w:numPr>
          <w:ilvl w:val="0"/>
          <w:numId w:val="80"/>
        </w:numPr>
      </w:pPr>
      <w:r>
        <w:rPr/>
        <w:t xml:space="preserve">The undersigned was appointed as Sole Arbitrator by </w:t>
      </w:r>
      <w:r>
        <w:rPr/>
        <w:t>{{appointment_mode}}</w:t>
      </w:r>
      <w:r>
        <w:rPr/>
        <w:t xml:space="preserve">, vide </w:t>
      </w:r>
      <w:r>
        <w:rPr/>
        <w:t>{{appointment_letter_ref}}</w:t>
      </w:r>
      <w:r>
        <w:rPr/>
        <w:t xml:space="preserve"> dated </w:t>
      </w:r>
      <w:r>
        <w:rPr/>
        <w:t>{{appointment_date}}</w:t>
      </w:r>
      <w:r>
        <w:rPr/>
        <w:t>.</w:t>
      </w:r>
    </w:p>
    <w:p>
      <w:pPr>
        <w:numPr>
          <w:ilvl w:val="0"/>
          <w:numId w:val="80"/>
        </w:numPr>
      </w:pPr>
      <w:r>
        <w:rPr/>
        <w:t xml:space="preserve">The undersigned accepted the appointment on </w:t>
      </w:r>
      <w:r>
        <w:rPr/>
        <w:t>{{consent_date}}</w:t>
      </w:r>
      <w:r>
        <w:rPr/>
        <w:t xml:space="preserve"> and made a written disclosure under Section 12(1) of the Act in the form prescribed in the Sixth Schedule. The disclosure confirmed that no circumstance exists that is likely to give rise to justifiable doubts as to the Tribunal’s independence or impartiality, that none of the relationships in the Seventh Schedule exists, and that the Tribunal has sufficient time to conduct the arbitration and conclude it within the period prescribed by Section 29A. The disclosure was communicated to all parties on </w:t>
      </w:r>
      <w:r>
        <w:rPr/>
        <w:t>{{disclosure_sent_date}}</w:t>
      </w:r>
      <w:r>
        <w:rPr/>
        <w:t xml:space="preserve"> by </w:t>
      </w:r>
      <w:r>
        <w:rPr/>
        <w:t>{{disclosure_mode}}</w:t>
      </w:r>
      <w:r>
        <w:rPr/>
        <w:t>.</w:t>
      </w:r>
    </w:p>
    <w:p>
      <w:pPr>
        <w:numPr>
          <w:ilvl w:val="0"/>
          <w:numId w:val="80"/>
        </w:numPr>
      </w:pPr>
      <w:r>
        <w:rPr/>
        <w:t>No party challenged the appointment under Section 13 of the Act. Independently of any objection, the Tribunal has satisfied itself that it has been validly constituted and that it has jurisdiction over the disputes.</w:t>
      </w:r>
    </w:p>
    <w:p>
      <w:pPr>
        <w:keepNext/>
        <w:spacing w:before="280" w:after="120"/>
        <w:jc w:val="left"/>
      </w:pPr>
      <w:r>
        <w:rPr>
          <w:b/>
          <w:smallCaps/>
          <w:sz w:val="24"/>
        </w:rPr>
        <w:t>D. Seat, Venue, Language and Procedure</w:t>
      </w:r>
    </w:p>
    <w:p>
      <w:pPr>
        <w:numPr>
          <w:ilvl w:val="0"/>
          <w:numId w:val="80"/>
        </w:numPr>
      </w:pPr>
      <w:r>
        <w:rPr/>
        <w:t xml:space="preserve">The Agreement designates </w:t>
      </w:r>
      <w:r>
        <w:rPr/>
        <w:t>{{seat_city}}</w:t>
      </w:r>
      <w:r>
        <w:rPr/>
        <w:t xml:space="preserve"> as the place of arbitration. The juridical seat of this arbitration is therefore </w:t>
      </w:r>
      <w:r>
        <w:rPr/>
        <w:t>{{seat_city}}</w:t>
      </w:r>
      <w:r>
        <w:rPr/>
        <w:t>, and the competent courts at the seat have supervisory jurisdiction over it.</w:t>
      </w:r>
    </w:p>
    <w:p>
      <w:pPr>
        <w:numPr>
          <w:ilvl w:val="0"/>
          <w:numId w:val="80"/>
        </w:numPr>
      </w:pPr>
      <w:r>
        <w:rPr/>
        <w:t xml:space="preserve">By Procedural Order No. 1 dated </w:t>
      </w:r>
      <w:r>
        <w:rPr/>
        <w:t>{{po1_date}}</w:t>
      </w:r>
      <w:r>
        <w:rPr/>
        <w:t>, the Tribunal directed that hearings be held by video conference on the Google Meet platform, with a fresh link issued for each hearing by e-mail, SMS and WhatsApp to the parties’ registered contact details. The Tribunal maintained a record of each hearing, including attendance drawn from the platform’s participant log, and circulated it to the parties. Holding hearings online did not change the seat. Under Section 20(3) of the Act, the Tribunal may meet at any place, including virtually.</w:t>
      </w:r>
    </w:p>
    <w:p>
      <w:pPr>
        <w:pStyle w:val="TemplateDirective"/>
      </w:pPr>
      <w:r>
        <w:t>[[IF ex_parte]]</w:t>
      </w:r>
    </w:p>
    <w:p>
      <w:pPr>
        <w:numPr>
          <w:ilvl w:val="0"/>
          <w:numId w:val="80"/>
        </w:numPr>
      </w:pPr>
      <w:r>
        <w:rPr/>
        <w:t>Procedural Order No. 1 expressly informed the Respondent of the online mode, of the right to seek a physical hearing or an accommodation, and of the consequences of default under Section 25 of the Act. The Respondent raised no objection.</w:t>
      </w:r>
    </w:p>
    <w:p>
      <w:pPr>
        <w:pStyle w:val="TemplateDirective"/>
      </w:pPr>
      <w:r>
        <w:t>[[ELSE]]</w:t>
      </w:r>
    </w:p>
    <w:p>
      <w:pPr>
        <w:numPr>
          <w:ilvl w:val="0"/>
          <w:numId w:val="80"/>
        </w:numPr>
      </w:pPr>
      <w:r>
        <w:rPr/>
        <w:t>Both parties consented to online hearings, and that consent is recorded in Procedural Order No. 1.</w:t>
      </w:r>
    </w:p>
    <w:p>
      <w:pPr>
        <w:pStyle w:val="TemplateDirective"/>
      </w:pPr>
      <w:r>
        <w:t>[[END]]</w:t>
      </w:r>
    </w:p>
    <w:p>
      <w:pPr>
        <w:numPr>
          <w:ilvl w:val="0"/>
          <w:numId w:val="80"/>
        </w:numPr>
      </w:pPr>
      <w:r>
        <w:rPr/>
        <w:t>The proceedings were conducted in English (Section 22). The Tribunal followed the procedure set out in Procedural Order No. 1 under Section 19 of the Act and treated the parties equally, giving each a full opportunity to present its case as Section 18 requires. The Tribunal is not bound by the Code of Civil Procedure, 1908 or the Bharatiya Sakshya Adhiniyam, 2023, but has been guided by their underlying principles. The substantive law applicable to the disputes is the law of India (Section 28(1)(a)).</w:t>
      </w:r>
    </w:p>
    <w:p>
      <w:pPr>
        <w:keepNext/>
        <w:spacing w:before="280" w:after="120"/>
        <w:jc w:val="left"/>
      </w:pPr>
      <w:r>
        <w:rPr>
          <w:b/>
          <w:smallCaps/>
          <w:sz w:val="24"/>
        </w:rPr>
        <w:t>E. Procedural History</w:t>
      </w:r>
    </w:p>
    <w:p>
      <w:pPr>
        <w:numPr>
          <w:ilvl w:val="0"/>
          <w:numId w:val="80"/>
        </w:numPr>
      </w:pPr>
      <w:r>
        <w:rPr/>
        <w:t xml:space="preserve">The Claimant filed its Statement of Claim dated </w:t>
      </w:r>
      <w:r>
        <w:rPr/>
        <w:t>{{soc_date}}</w:t>
      </w:r>
      <w:r>
        <w:rPr/>
        <w:t xml:space="preserve"> on </w:t>
      </w:r>
      <w:r>
        <w:rPr/>
        <w:t>{{soc_filing_date}}</w:t>
      </w:r>
      <w:r>
        <w:rPr/>
        <w:t>, together with the documents listed in Section F below. The Tribunal served a copy on the Respondent with notice of the first hearing.</w:t>
      </w:r>
    </w:p>
    <w:p>
      <w:pPr>
        <w:keepNext/>
        <w:numPr>
          <w:ilvl w:val="0"/>
          <w:numId w:val="80"/>
        </w:numPr>
      </w:pPr>
      <w:r>
        <w:rPr/>
        <w:t>The Tribunal caused the following notices and communications to be issued. Each was sent to the postal address, e-mail address and mobile number the Respondent had furnished to the Claimant, which is how the Respondent is deemed to have received them under Section 3 of the Act:</w:t>
      </w:r>
    </w:p>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1020"/>
        <w:gridCol w:w="1814"/>
        <w:gridCol w:w="1077"/>
        <w:gridCol w:w="1134"/>
        <w:gridCol w:w="1190"/>
        <w:gridCol w:w="1644"/>
        <w:gridCol w:w="1020"/>
      </w:tblGrid>
      <w:tr>
        <w:trPr>
          <w:tblHeader w:val="true"/>
          <w:cantSplit w:val="true"/>
        </w:trPr>
        <w:tc>
          <w:tcPr>
            <w:tcW w:type="dxa" w:w="1020"/>
            <w:vAlign w:val="top"/>
            <w:shd w:val="clear" w:color="auto" w:fill="E7E3DA"/>
          </w:tcPr>
          <w:p>
            <w:pPr>
              <w:keepNext/>
              <w:spacing w:after="40" w:before="20" w:line="252" w:lineRule="auto"/>
              <w:jc w:val="left"/>
            </w:pPr>
            <w:r>
              <w:rPr>
                <w:b/>
                <w:sz w:val="18"/>
              </w:rPr>
              <w:t>No.</w:t>
            </w:r>
          </w:p>
        </w:tc>
        <w:tc>
          <w:tcPr>
            <w:tcW w:type="dxa" w:w="1814"/>
            <w:vAlign w:val="top"/>
            <w:shd w:val="clear" w:color="auto" w:fill="E7E3DA"/>
          </w:tcPr>
          <w:p>
            <w:pPr>
              <w:keepNext/>
              <w:spacing w:after="40" w:before="20" w:line="252" w:lineRule="auto"/>
              <w:jc w:val="left"/>
            </w:pPr>
            <w:r>
              <w:rPr>
                <w:b/>
                <w:sz w:val="18"/>
              </w:rPr>
              <w:t>Notice / communication</w:t>
            </w:r>
          </w:p>
        </w:tc>
        <w:tc>
          <w:tcPr>
            <w:tcW w:type="dxa" w:w="1077"/>
            <w:vAlign w:val="top"/>
            <w:shd w:val="clear" w:color="auto" w:fill="E7E3DA"/>
          </w:tcPr>
          <w:p>
            <w:pPr>
              <w:keepNext/>
              <w:spacing w:after="40" w:before="20" w:line="252" w:lineRule="auto"/>
              <w:jc w:val="left"/>
            </w:pPr>
            <w:r>
              <w:rPr>
                <w:b/>
                <w:sz w:val="18"/>
              </w:rPr>
              <w:t>Date</w:t>
            </w:r>
          </w:p>
        </w:tc>
        <w:tc>
          <w:tcPr>
            <w:tcW w:type="dxa" w:w="1134"/>
            <w:vAlign w:val="top"/>
            <w:shd w:val="clear" w:color="auto" w:fill="E7E3DA"/>
          </w:tcPr>
          <w:p>
            <w:pPr>
              <w:keepNext/>
              <w:spacing w:after="40" w:before="20" w:line="252" w:lineRule="auto"/>
              <w:jc w:val="left"/>
            </w:pPr>
            <w:r>
              <w:rPr>
                <w:b/>
                <w:sz w:val="18"/>
              </w:rPr>
              <w:t>Mode</w:t>
            </w:r>
          </w:p>
        </w:tc>
        <w:tc>
          <w:tcPr>
            <w:tcW w:type="dxa" w:w="1191"/>
            <w:vAlign w:val="top"/>
            <w:shd w:val="clear" w:color="auto" w:fill="E7E3DA"/>
          </w:tcPr>
          <w:p>
            <w:pPr>
              <w:keepNext/>
              <w:spacing w:after="40" w:before="20" w:line="252" w:lineRule="auto"/>
              <w:jc w:val="left"/>
            </w:pPr>
            <w:r>
              <w:rPr>
                <w:b/>
                <w:sz w:val="18"/>
              </w:rPr>
              <w:t>Addressee</w:t>
            </w:r>
          </w:p>
        </w:tc>
        <w:tc>
          <w:tcPr>
            <w:tcW w:type="dxa" w:w="1644"/>
            <w:vAlign w:val="top"/>
            <w:shd w:val="clear" w:color="auto" w:fill="E7E3DA"/>
          </w:tcPr>
          <w:p>
            <w:pPr>
              <w:keepNext/>
              <w:spacing w:after="40" w:before="20" w:line="252" w:lineRule="auto"/>
              <w:jc w:val="left"/>
            </w:pPr>
            <w:r>
              <w:rPr>
                <w:b/>
                <w:sz w:val="18"/>
              </w:rPr>
              <w:t>Tracking / proof ref.</w:t>
            </w:r>
          </w:p>
        </w:tc>
        <w:tc>
          <w:tcPr>
            <w:tcW w:type="dxa" w:w="1020"/>
            <w:vAlign w:val="top"/>
            <w:shd w:val="clear" w:color="auto" w:fill="E7E3DA"/>
          </w:tcPr>
          <w:p>
            <w:pPr>
              <w:keepNext/>
              <w:spacing w:after="40" w:before="20" w:line="252" w:lineRule="auto"/>
              <w:jc w:val="left"/>
            </w:pPr>
            <w:r>
              <w:rPr>
                <w:b/>
                <w:sz w:val="18"/>
              </w:rPr>
              <w:t>Status</w:t>
            </w:r>
          </w:p>
        </w:tc>
      </w:tr>
      <w:tr>
        <w:trPr>
          <w:cantSplit w:val="true"/>
        </w:trPr>
        <w:tc>
          <w:tcPr>
            <w:tcW w:type="dxa" w:w="8899"/>
            <w:gridSpan w:val="7"/>
            <w:shd w:val="clear" w:color="auto" w:fill="EEF3F7"/>
          </w:tcPr>
          <w:p>
            <w:pPr>
              <w:pStyle w:val="TemplateDirective"/>
              <w:spacing w:before="0" w:after="0"/>
            </w:pPr>
            <w:r>
              <w:t>[[ROW notice_log]]</w:t>
            </w:r>
            <w:r>
              <w:rPr>
                <w:b w:val="0"/>
                <w:i/>
              </w:rPr>
              <w:t xml:space="preserve">  repeat the next row once per entry; delete this row</w:t>
            </w:r>
          </w:p>
        </w:tc>
      </w:tr>
      <w:tr>
        <w:trPr>
          <w:cantSplit w:val="true"/>
        </w:trPr>
        <w:tc>
          <w:tcPr>
            <w:tcW w:type="dxa" w:w="1020"/>
            <w:vAlign w:val="top"/>
          </w:tcPr>
          <w:p>
            <w:pPr>
              <w:keepNext w:val="0"/>
              <w:spacing w:after="40" w:before="20" w:line="252" w:lineRule="auto"/>
              <w:jc w:val="left"/>
            </w:pPr>
            <w:r>
              <w:rPr>
                <w:sz w:val="18"/>
              </w:rPr>
              <w:t>{{notice_no}}</w:t>
            </w:r>
          </w:p>
        </w:tc>
        <w:tc>
          <w:tcPr>
            <w:tcW w:type="dxa" w:w="1814"/>
            <w:vAlign w:val="top"/>
          </w:tcPr>
          <w:p>
            <w:pPr>
              <w:keepNext w:val="0"/>
              <w:spacing w:after="40" w:before="20" w:line="252" w:lineRule="auto"/>
              <w:jc w:val="left"/>
            </w:pPr>
            <w:r>
              <w:rPr>
                <w:sz w:val="18"/>
              </w:rPr>
              <w:t>{{notice_description}}</w:t>
            </w:r>
          </w:p>
        </w:tc>
        <w:tc>
          <w:tcPr>
            <w:tcW w:type="dxa" w:w="1077"/>
            <w:vAlign w:val="top"/>
          </w:tcPr>
          <w:p>
            <w:pPr>
              <w:keepNext w:val="0"/>
              <w:spacing w:after="40" w:before="20" w:line="252" w:lineRule="auto"/>
              <w:jc w:val="left"/>
            </w:pPr>
            <w:r>
              <w:rPr>
                <w:sz w:val="18"/>
              </w:rPr>
              <w:t>{{notice_date}}</w:t>
            </w:r>
          </w:p>
        </w:tc>
        <w:tc>
          <w:tcPr>
            <w:tcW w:type="dxa" w:w="1134"/>
            <w:vAlign w:val="top"/>
          </w:tcPr>
          <w:p>
            <w:pPr>
              <w:keepNext w:val="0"/>
              <w:spacing w:after="40" w:before="20" w:line="252" w:lineRule="auto"/>
              <w:jc w:val="left"/>
            </w:pPr>
            <w:r>
              <w:rPr>
                <w:sz w:val="18"/>
              </w:rPr>
              <w:t>{{notice_mode}}</w:t>
            </w:r>
          </w:p>
        </w:tc>
        <w:tc>
          <w:tcPr>
            <w:tcW w:type="dxa" w:w="1191"/>
            <w:vAlign w:val="top"/>
          </w:tcPr>
          <w:p>
            <w:pPr>
              <w:keepNext w:val="0"/>
              <w:spacing w:after="40" w:before="20" w:line="252" w:lineRule="auto"/>
              <w:jc w:val="left"/>
            </w:pPr>
            <w:r>
              <w:rPr>
                <w:sz w:val="18"/>
              </w:rPr>
              <w:t>{{notice_addressee}}</w:t>
            </w:r>
          </w:p>
        </w:tc>
        <w:tc>
          <w:tcPr>
            <w:tcW w:type="dxa" w:w="1644"/>
            <w:vAlign w:val="top"/>
          </w:tcPr>
          <w:p>
            <w:pPr>
              <w:keepNext w:val="0"/>
              <w:spacing w:after="40" w:before="20" w:line="252" w:lineRule="auto"/>
              <w:jc w:val="left"/>
            </w:pPr>
            <w:r>
              <w:rPr>
                <w:sz w:val="18"/>
              </w:rPr>
              <w:t>{{notice_proof_ref}}</w:t>
            </w:r>
          </w:p>
        </w:tc>
        <w:tc>
          <w:tcPr>
            <w:tcW w:type="dxa" w:w="1020"/>
            <w:vAlign w:val="top"/>
          </w:tcPr>
          <w:p>
            <w:pPr>
              <w:keepNext w:val="0"/>
              <w:spacing w:after="40" w:before="20" w:line="252" w:lineRule="auto"/>
              <w:jc w:val="left"/>
            </w:pPr>
            <w:r>
              <w:rPr>
                <w:sz w:val="18"/>
              </w:rPr>
              <w:t>{{notice_status}}</w:t>
            </w:r>
          </w:p>
        </w:tc>
      </w:tr>
    </w:tbl>
    <w:p>
      <w:pPr>
        <w:spacing w:after="80"/>
      </w:pPr>
    </w:p>
    <w:p>
      <w:pPr>
        <w:keepNext/>
        <w:numPr>
          <w:ilvl w:val="0"/>
          <w:numId w:val="80"/>
        </w:numPr>
      </w:pPr>
      <w:r>
        <w:rPr/>
        <w:t>The hearings held, and the parties’ attendance at each, are summarised below:</w:t>
      </w:r>
    </w:p>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1077"/>
        <w:gridCol w:w="1417"/>
        <w:gridCol w:w="1134"/>
        <w:gridCol w:w="1134"/>
        <w:gridCol w:w="1134"/>
        <w:gridCol w:w="3005"/>
      </w:tblGrid>
      <w:tr>
        <w:trPr>
          <w:tblHeader w:val="true"/>
          <w:cantSplit w:val="true"/>
        </w:trPr>
        <w:tc>
          <w:tcPr>
            <w:tcW w:type="dxa" w:w="1077"/>
            <w:vAlign w:val="top"/>
            <w:shd w:val="clear" w:color="auto" w:fill="E7E3DA"/>
          </w:tcPr>
          <w:p>
            <w:pPr>
              <w:keepNext/>
              <w:spacing w:after="40" w:before="20" w:line="252" w:lineRule="auto"/>
              <w:jc w:val="left"/>
            </w:pPr>
            <w:r>
              <w:rPr>
                <w:b/>
                <w:sz w:val="18"/>
              </w:rPr>
              <w:t>No.</w:t>
            </w:r>
          </w:p>
        </w:tc>
        <w:tc>
          <w:tcPr>
            <w:tcW w:type="dxa" w:w="1417"/>
            <w:vAlign w:val="top"/>
            <w:shd w:val="clear" w:color="auto" w:fill="E7E3DA"/>
          </w:tcPr>
          <w:p>
            <w:pPr>
              <w:keepNext/>
              <w:spacing w:after="40" w:before="20" w:line="252" w:lineRule="auto"/>
              <w:jc w:val="left"/>
            </w:pPr>
            <w:r>
              <w:rPr>
                <w:b/>
                <w:sz w:val="18"/>
              </w:rPr>
              <w:t>Date and time</w:t>
            </w:r>
          </w:p>
        </w:tc>
        <w:tc>
          <w:tcPr>
            <w:tcW w:type="dxa" w:w="1134"/>
            <w:vAlign w:val="top"/>
            <w:shd w:val="clear" w:color="auto" w:fill="E7E3DA"/>
          </w:tcPr>
          <w:p>
            <w:pPr>
              <w:keepNext/>
              <w:spacing w:after="40" w:before="20" w:line="252" w:lineRule="auto"/>
              <w:jc w:val="left"/>
            </w:pPr>
            <w:r>
              <w:rPr>
                <w:b/>
                <w:sz w:val="18"/>
              </w:rPr>
              <w:t>Mode</w:t>
            </w:r>
          </w:p>
        </w:tc>
        <w:tc>
          <w:tcPr>
            <w:tcW w:type="dxa" w:w="1134"/>
            <w:vAlign w:val="top"/>
            <w:shd w:val="clear" w:color="auto" w:fill="E7E3DA"/>
          </w:tcPr>
          <w:p>
            <w:pPr>
              <w:keepNext/>
              <w:spacing w:after="40" w:before="20" w:line="252" w:lineRule="auto"/>
              <w:jc w:val="left"/>
            </w:pPr>
            <w:r>
              <w:rPr>
                <w:b/>
                <w:sz w:val="18"/>
              </w:rPr>
              <w:t>Claimant</w:t>
            </w:r>
          </w:p>
        </w:tc>
        <w:tc>
          <w:tcPr>
            <w:tcW w:type="dxa" w:w="1134"/>
            <w:vAlign w:val="top"/>
            <w:shd w:val="clear" w:color="auto" w:fill="E7E3DA"/>
          </w:tcPr>
          <w:p>
            <w:pPr>
              <w:keepNext/>
              <w:spacing w:after="40" w:before="20" w:line="252" w:lineRule="auto"/>
              <w:jc w:val="left"/>
            </w:pPr>
            <w:r>
              <w:rPr>
                <w:b/>
                <w:sz w:val="18"/>
              </w:rPr>
              <w:t>Respondent</w:t>
            </w:r>
          </w:p>
        </w:tc>
        <w:tc>
          <w:tcPr>
            <w:tcW w:type="dxa" w:w="3005"/>
            <w:vAlign w:val="top"/>
            <w:shd w:val="clear" w:color="auto" w:fill="E7E3DA"/>
          </w:tcPr>
          <w:p>
            <w:pPr>
              <w:keepNext/>
              <w:spacing w:after="40" w:before="20" w:line="252" w:lineRule="auto"/>
              <w:jc w:val="left"/>
            </w:pPr>
            <w:r>
              <w:rPr>
                <w:b/>
                <w:sz w:val="18"/>
              </w:rPr>
              <w:t>Proceedings / directions</w:t>
            </w:r>
          </w:p>
        </w:tc>
      </w:tr>
      <w:tr>
        <w:trPr>
          <w:cantSplit w:val="true"/>
        </w:trPr>
        <w:tc>
          <w:tcPr>
            <w:tcW w:type="dxa" w:w="8901"/>
            <w:gridSpan w:val="6"/>
            <w:shd w:val="clear" w:color="auto" w:fill="EEF3F7"/>
          </w:tcPr>
          <w:p>
            <w:pPr>
              <w:pStyle w:val="TemplateDirective"/>
              <w:spacing w:before="0" w:after="0"/>
            </w:pPr>
            <w:r>
              <w:t>[[ROW hearing_log]]</w:t>
            </w:r>
            <w:r>
              <w:rPr>
                <w:b w:val="0"/>
                <w:i/>
              </w:rPr>
              <w:t xml:space="preserve">  repeat the next row once per entry; delete this row</w:t>
            </w:r>
          </w:p>
        </w:tc>
      </w:tr>
      <w:tr>
        <w:trPr>
          <w:cantSplit w:val="true"/>
        </w:trPr>
        <w:tc>
          <w:tcPr>
            <w:tcW w:type="dxa" w:w="1077"/>
            <w:vAlign w:val="top"/>
          </w:tcPr>
          <w:p>
            <w:pPr>
              <w:keepNext w:val="0"/>
              <w:spacing w:after="40" w:before="20" w:line="252" w:lineRule="auto"/>
              <w:jc w:val="left"/>
            </w:pPr>
            <w:r>
              <w:rPr>
                <w:sz w:val="18"/>
              </w:rPr>
              <w:t>{{hearing_no}}</w:t>
            </w:r>
          </w:p>
        </w:tc>
        <w:tc>
          <w:tcPr>
            <w:tcW w:type="dxa" w:w="1417"/>
            <w:vAlign w:val="top"/>
          </w:tcPr>
          <w:p>
            <w:pPr>
              <w:keepNext w:val="0"/>
              <w:spacing w:after="40" w:before="20" w:line="252" w:lineRule="auto"/>
              <w:jc w:val="left"/>
            </w:pPr>
            <w:r>
              <w:rPr>
                <w:sz w:val="18"/>
              </w:rPr>
              <w:t>{{hearing_datetime}}</w:t>
            </w:r>
          </w:p>
        </w:tc>
        <w:tc>
          <w:tcPr>
            <w:tcW w:type="dxa" w:w="1134"/>
            <w:vAlign w:val="top"/>
          </w:tcPr>
          <w:p>
            <w:pPr>
              <w:keepNext w:val="0"/>
              <w:spacing w:after="40" w:before="20" w:line="252" w:lineRule="auto"/>
              <w:jc w:val="left"/>
            </w:pPr>
            <w:r>
              <w:rPr>
                <w:sz w:val="18"/>
              </w:rPr>
              <w:t>{{hearing_mode}}</w:t>
            </w:r>
          </w:p>
        </w:tc>
        <w:tc>
          <w:tcPr>
            <w:tcW w:type="dxa" w:w="1134"/>
            <w:vAlign w:val="top"/>
          </w:tcPr>
          <w:p>
            <w:pPr>
              <w:keepNext w:val="0"/>
              <w:spacing w:after="40" w:before="20" w:line="252" w:lineRule="auto"/>
              <w:jc w:val="left"/>
            </w:pPr>
            <w:r>
              <w:rPr>
                <w:sz w:val="18"/>
              </w:rPr>
              <w:t>{{hearing_claimant_attendance}}</w:t>
            </w:r>
          </w:p>
        </w:tc>
        <w:tc>
          <w:tcPr>
            <w:tcW w:type="dxa" w:w="1134"/>
            <w:vAlign w:val="top"/>
          </w:tcPr>
          <w:p>
            <w:pPr>
              <w:keepNext w:val="0"/>
              <w:spacing w:after="40" w:before="20" w:line="252" w:lineRule="auto"/>
              <w:jc w:val="left"/>
            </w:pPr>
            <w:r>
              <w:rPr>
                <w:sz w:val="18"/>
              </w:rPr>
              <w:t>{{hearing_respondent_attendance}}</w:t>
            </w:r>
          </w:p>
        </w:tc>
        <w:tc>
          <w:tcPr>
            <w:tcW w:type="dxa" w:w="3005"/>
            <w:vAlign w:val="top"/>
          </w:tcPr>
          <w:p>
            <w:pPr>
              <w:keepNext w:val="0"/>
              <w:spacing w:after="40" w:before="20" w:line="252" w:lineRule="auto"/>
              <w:jc w:val="left"/>
            </w:pPr>
            <w:r>
              <w:rPr>
                <w:sz w:val="18"/>
              </w:rPr>
              <w:t>{{hearing_proceedings}}</w:t>
            </w:r>
          </w:p>
        </w:tc>
      </w:tr>
    </w:tbl>
    <w:p>
      <w:pPr>
        <w:spacing w:after="80"/>
      </w:pPr>
    </w:p>
    <w:p>
      <w:pPr>
        <w:numPr>
          <w:ilvl w:val="0"/>
          <w:numId w:val="80"/>
        </w:numPr>
      </w:pPr>
      <w:r>
        <w:rPr/>
        <w:t xml:space="preserve">Pleadings were completed on </w:t>
      </w:r>
      <w:r>
        <w:rPr/>
        <w:t>{{pleadings_completion_date}}</w:t>
      </w:r>
      <w:r>
        <w:rPr/>
        <w:t>. This Award is made within twelve months of that date, as Section 29A(1) of the Act requires.</w:t>
      </w:r>
    </w:p>
    <w:p>
      <w:pPr>
        <w:pStyle w:val="TemplateDirective"/>
      </w:pPr>
      <w:r>
        <w:t>[[IF time_extended]]</w:t>
      </w:r>
    </w:p>
    <w:p>
      <w:pPr>
        <w:numPr>
          <w:ilvl w:val="0"/>
          <w:numId w:val="80"/>
        </w:numPr>
      </w:pPr>
      <w:r>
        <w:rPr/>
        <w:t xml:space="preserve">The period for making the Award was extended by </w:t>
      </w:r>
      <w:r>
        <w:rPr/>
        <w:t>{{time_extension_ref}}</w:t>
      </w:r>
      <w:r>
        <w:rPr/>
        <w:t xml:space="preserve"> dated </w:t>
      </w:r>
      <w:r>
        <w:rPr/>
        <w:t>{{time_extension_date}}</w:t>
      </w:r>
      <w:r>
        <w:rPr/>
        <w:t xml:space="preserve"> under Section 29A(3) / (4) of the Act, and this Award is made within the period so extended.</w:t>
      </w:r>
    </w:p>
    <w:p>
      <w:pPr>
        <w:pStyle w:val="TemplateDirective"/>
      </w:pPr>
      <w:r>
        <w:t>[[END]]</w:t>
      </w:r>
    </w:p>
    <w:p>
      <w:pPr>
        <w:keepNext/>
        <w:spacing w:before="280" w:after="120"/>
        <w:jc w:val="left"/>
      </w:pPr>
      <w:r>
        <w:rPr>
          <w:b/>
          <w:smallCaps/>
          <w:sz w:val="24"/>
        </w:rPr>
        <w:t>F. The Case of the Claimant</w:t>
      </w:r>
    </w:p>
    <w:p>
      <w:pPr>
        <w:pStyle w:val="TemplateDirective"/>
      </w:pPr>
      <w:r>
        <w:t>[[IF personal_loan]]</w:t>
      </w:r>
    </w:p>
    <w:p>
      <w:pPr>
        <w:numPr>
          <w:ilvl w:val="0"/>
          <w:numId w:val="80"/>
        </w:numPr>
      </w:pPr>
      <w:r>
        <w:rPr/>
        <w:t xml:space="preserve">The Claimant’s case is that the Respondent defaulted in paying the EMIs falling due from </w:t>
      </w:r>
      <w:r>
        <w:rPr/>
        <w:t>{{default_date}}</w:t>
      </w:r>
      <w:r>
        <w:rPr/>
        <w:t xml:space="preserve"> onwards. Despite reminders, the default was not cured, and the account was classified as a non-performing asset on </w:t>
      </w:r>
      <w:r>
        <w:rPr/>
        <w:t>{{npa_date}}</w:t>
      </w:r>
      <w:r>
        <w:rPr/>
        <w:t xml:space="preserve"> under the prudential norms of the Reserve Bank of India.</w:t>
      </w:r>
    </w:p>
    <w:p>
      <w:pPr>
        <w:pStyle w:val="TemplateDirective"/>
      </w:pPr>
      <w:r>
        <w:t>[[END]]</w:t>
      </w:r>
    </w:p>
    <w:p>
      <w:pPr>
        <w:pStyle w:val="TemplateDirective"/>
      </w:pPr>
      <w:r>
        <w:t>[[IF credit_card]]</w:t>
      </w:r>
    </w:p>
    <w:p>
      <w:pPr>
        <w:numPr>
          <w:ilvl w:val="0"/>
          <w:numId w:val="80"/>
        </w:numPr>
      </w:pPr>
      <w:r>
        <w:rPr/>
        <w:t xml:space="preserve">The Claimant’s case is that the Respondent failed to pay even the minimum amount due under the statement dated </w:t>
      </w:r>
      <w:r>
        <w:rPr/>
        <w:t>{{default_date}}</w:t>
      </w:r>
      <w:r>
        <w:rPr/>
        <w:t xml:space="preserve"> and the statements that followed. The card was consequently blocked, and the account was classified as a non-performing asset on </w:t>
      </w:r>
      <w:r>
        <w:rPr/>
        <w:t>{{npa_date}}</w:t>
      </w:r>
      <w:r>
        <w:rPr/>
        <w:t xml:space="preserve"> under the prudential norms of the Reserve Bank of India.</w:t>
      </w:r>
    </w:p>
    <w:p>
      <w:pPr>
        <w:pStyle w:val="TemplateDirective"/>
      </w:pPr>
      <w:r>
        <w:t>[[END]]</w:t>
      </w:r>
    </w:p>
    <w:p>
      <w:pPr>
        <w:numPr>
          <w:ilvl w:val="0"/>
          <w:numId w:val="80"/>
        </w:numPr>
      </w:pPr>
      <w:r>
        <w:rPr/>
        <w:t xml:space="preserve">By a </w:t>
      </w:r>
      <w:r>
        <w:rPr/>
        <w:t>{{demand_notice_type}}</w:t>
      </w:r>
      <w:r>
        <w:rPr/>
        <w:t xml:space="preserve"> dated </w:t>
      </w:r>
      <w:r>
        <w:rPr/>
        <w:t>{{demand_notice_date}}</w:t>
      </w:r>
      <w:r>
        <w:rPr/>
        <w:t xml:space="preserve">, the Claimant called upon the Respondent to pay Rs. </w:t>
      </w:r>
      <w:r>
        <w:rPr/>
        <w:t>{{demand_notice_amount}}</w:t>
      </w:r>
      <w:r>
        <w:rPr/>
        <w:t>/- within the time stated in it. The Respondent did not comply with the notice.</w:t>
      </w:r>
    </w:p>
    <w:p>
      <w:pPr>
        <w:numPr>
          <w:ilvl w:val="0"/>
          <w:numId w:val="80"/>
        </w:numPr>
      </w:pPr>
      <w:r>
        <w:rPr/>
        <w:t xml:space="preserve">The Claimant accordingly claims Rs. </w:t>
      </w:r>
      <w:r>
        <w:rPr/>
        <w:t>{{claim_amount}}</w:t>
      </w:r>
      <w:r>
        <w:rPr/>
        <w:t xml:space="preserve">/- (Rupees </w:t>
      </w:r>
      <w:r>
        <w:rPr/>
        <w:t>{{claim_amount_words}}</w:t>
      </w:r>
      <w:r>
        <w:rPr/>
        <w:t xml:space="preserve"> Only) as outstanding on </w:t>
      </w:r>
      <w:r>
        <w:rPr/>
        <w:t>{{claim_as_on_date}}</w:t>
      </w:r>
      <w:r>
        <w:rPr/>
        <w:t xml:space="preserve">, together with further interest at </w:t>
      </w:r>
      <w:r>
        <w:rPr/>
        <w:t>{{claimed_interest_rate}}</w:t>
      </w:r>
      <w:r>
        <w:rPr/>
        <w:t>% per annum and the costs of the arbitration.</w:t>
      </w:r>
    </w:p>
    <w:p>
      <w:pPr>
        <w:keepNext/>
        <w:numPr>
          <w:ilvl w:val="0"/>
          <w:numId w:val="80"/>
        </w:numPr>
      </w:pPr>
      <w:r>
        <w:rPr/>
        <w:t>In support of its claim, the Claimant relies on the following documents:</w:t>
      </w:r>
    </w:p>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1304"/>
        <w:gridCol w:w="5783"/>
        <w:gridCol w:w="1814"/>
      </w:tblGrid>
      <w:tr>
        <w:trPr>
          <w:tblHeader w:val="true"/>
          <w:cantSplit w:val="true"/>
        </w:trPr>
        <w:tc>
          <w:tcPr>
            <w:tcW w:type="dxa" w:w="1304"/>
            <w:vAlign w:val="top"/>
            <w:shd w:val="clear" w:color="auto" w:fill="E7E3DA"/>
          </w:tcPr>
          <w:p>
            <w:pPr>
              <w:keepNext/>
              <w:spacing w:after="40" w:before="20" w:line="252" w:lineRule="auto"/>
              <w:jc w:val="left"/>
            </w:pPr>
            <w:r>
              <w:rPr>
                <w:b/>
                <w:sz w:val="20"/>
              </w:rPr>
              <w:t>Exhibit</w:t>
            </w:r>
          </w:p>
        </w:tc>
        <w:tc>
          <w:tcPr>
            <w:tcW w:type="dxa" w:w="5783"/>
            <w:vAlign w:val="top"/>
            <w:shd w:val="clear" w:color="auto" w:fill="E7E3DA"/>
          </w:tcPr>
          <w:p>
            <w:pPr>
              <w:keepNext/>
              <w:spacing w:after="40" w:before="20" w:line="252" w:lineRule="auto"/>
              <w:jc w:val="left"/>
            </w:pPr>
            <w:r>
              <w:rPr>
                <w:b/>
                <w:sz w:val="20"/>
              </w:rPr>
              <w:t>Document</w:t>
            </w:r>
          </w:p>
        </w:tc>
        <w:tc>
          <w:tcPr>
            <w:tcW w:type="dxa" w:w="1814"/>
            <w:vAlign w:val="top"/>
            <w:shd w:val="clear" w:color="auto" w:fill="E7E3DA"/>
          </w:tcPr>
          <w:p>
            <w:pPr>
              <w:keepNext/>
              <w:spacing w:after="40" w:before="20" w:line="252" w:lineRule="auto"/>
              <w:jc w:val="left"/>
            </w:pPr>
            <w:r>
              <w:rPr>
                <w:b/>
                <w:sz w:val="20"/>
              </w:rPr>
              <w:t>Date</w:t>
            </w:r>
          </w:p>
        </w:tc>
      </w:tr>
      <w:tr>
        <w:trPr>
          <w:cantSplit w:val="true"/>
        </w:trPr>
        <w:tc>
          <w:tcPr>
            <w:tcW w:type="dxa" w:w="8901"/>
            <w:gridSpan w:val="3"/>
            <w:shd w:val="clear" w:color="auto" w:fill="EEF3F7"/>
          </w:tcPr>
          <w:p>
            <w:pPr>
              <w:pStyle w:val="TemplateDirective"/>
              <w:spacing w:before="0" w:after="0"/>
            </w:pPr>
            <w:r>
              <w:t>[[ROW exhibits]]</w:t>
            </w:r>
            <w:r>
              <w:rPr>
                <w:b w:val="0"/>
                <w:i/>
              </w:rPr>
              <w:t xml:space="preserve">  repeat the next row once per entry; delete this row</w:t>
            </w:r>
          </w:p>
        </w:tc>
      </w:tr>
      <w:tr>
        <w:trPr>
          <w:cantSplit w:val="true"/>
        </w:trPr>
        <w:tc>
          <w:tcPr>
            <w:tcW w:type="dxa" w:w="1304"/>
            <w:vAlign w:val="top"/>
          </w:tcPr>
          <w:p>
            <w:pPr>
              <w:keepNext w:val="0"/>
              <w:spacing w:after="40" w:before="20" w:line="252" w:lineRule="auto"/>
              <w:jc w:val="left"/>
            </w:pPr>
            <w:r>
              <w:rPr>
                <w:sz w:val="20"/>
              </w:rPr>
              <w:t>{{exhibit_no}}</w:t>
            </w:r>
          </w:p>
        </w:tc>
        <w:tc>
          <w:tcPr>
            <w:tcW w:type="dxa" w:w="5783"/>
            <w:vAlign w:val="top"/>
          </w:tcPr>
          <w:p>
            <w:pPr>
              <w:keepNext w:val="0"/>
              <w:spacing w:after="40" w:before="20" w:line="252" w:lineRule="auto"/>
              <w:jc w:val="left"/>
            </w:pPr>
            <w:r>
              <w:rPr>
                <w:sz w:val="20"/>
              </w:rPr>
              <w:t>{{exhibit_description}}</w:t>
            </w:r>
          </w:p>
        </w:tc>
        <w:tc>
          <w:tcPr>
            <w:tcW w:type="dxa" w:w="1814"/>
            <w:vAlign w:val="top"/>
          </w:tcPr>
          <w:p>
            <w:pPr>
              <w:keepNext w:val="0"/>
              <w:spacing w:after="40" w:before="20" w:line="252" w:lineRule="auto"/>
              <w:jc w:val="left"/>
            </w:pPr>
            <w:r>
              <w:rPr>
                <w:sz w:val="20"/>
              </w:rPr>
              <w:t>{{exhibit_date}}</w:t>
            </w:r>
          </w:p>
        </w:tc>
      </w:tr>
    </w:tbl>
    <w:p>
      <w:pPr>
        <w:spacing w:after="80"/>
      </w:pPr>
    </w:p>
    <w:p>
      <w:pPr>
        <w:numPr>
          <w:ilvl w:val="0"/>
          <w:numId w:val="80"/>
        </w:numPr>
      </w:pPr>
      <w:r>
        <w:rPr/>
        <w:t xml:space="preserve">The Claimant also filed the affidavit of evidence of </w:t>
      </w:r>
      <w:r>
        <w:rPr/>
        <w:t>{{claimant_witness_name}}</w:t>
      </w:r>
      <w:r>
        <w:rPr/>
        <w:t xml:space="preserve">, </w:t>
      </w:r>
      <w:r>
        <w:rPr/>
        <w:t>{{claimant_witness_designation}}</w:t>
      </w:r>
      <w:r>
        <w:rPr/>
        <w:t xml:space="preserve">, sworn on </w:t>
      </w:r>
      <w:r>
        <w:rPr/>
        <w:t>{{claimant_affidavit_date}}</w:t>
      </w:r>
      <w:r>
        <w:rPr/>
        <w:t>. The affidavit proves the documents and is accompanied by (a) a certificate under Section 2A of the Bankers’ Books Evidence Act, 1891 in respect of the computer printouts of the account, and (b) a certificate under Section 63 of the Bharatiya Sakshya Adhiniyam, 2023 in respect of the electronic records.</w:t>
      </w:r>
    </w:p>
    <w:p>
      <w:pPr>
        <w:keepNext/>
        <w:spacing w:before="280" w:after="120"/>
        <w:jc w:val="left"/>
      </w:pPr>
      <w:r>
        <w:rPr>
          <w:b/>
          <w:smallCaps/>
          <w:sz w:val="24"/>
        </w:rPr>
        <w:t>G. The Response of the Respondent</w:t>
      </w:r>
    </w:p>
    <w:p>
      <w:pPr>
        <w:pStyle w:val="TemplateDirective"/>
      </w:pPr>
      <w:r>
        <w:t>[[IF ex_parte]]</w:t>
      </w:r>
    </w:p>
    <w:p>
      <w:pPr>
        <w:numPr>
          <w:ilvl w:val="0"/>
          <w:numId w:val="80"/>
        </w:numPr>
      </w:pPr>
      <w:r>
        <w:rPr/>
        <w:t xml:space="preserve">Despite service as recorded in Section E, the Respondent did not file a Statement of Defence within the time fixed (on or before </w:t>
      </w:r>
      <w:r>
        <w:rPr/>
        <w:t>{{sod_due_date}}</w:t>
      </w:r>
      <w:r>
        <w:rPr/>
        <w:t xml:space="preserve">), and did not appear at any of the hearings. By order dated </w:t>
      </w:r>
      <w:r>
        <w:rPr/>
        <w:t>{{final_opportunity_date}}</w:t>
      </w:r>
      <w:r>
        <w:rPr/>
        <w:t>, the Tribunal gave the Respondent a final opportunity, stating expressly that the proceedings would otherwise continue in the Respondent’s absence. That opportunity was not availed.</w:t>
      </w:r>
    </w:p>
    <w:p>
      <w:pPr>
        <w:numPr>
          <w:ilvl w:val="0"/>
          <w:numId w:val="80"/>
        </w:numPr>
      </w:pPr>
      <w:r>
        <w:rPr/>
        <w:t xml:space="preserve">By order dated </w:t>
      </w:r>
      <w:r>
        <w:rPr/>
        <w:t>{{ex_parte_order_date}}</w:t>
      </w:r>
      <w:r>
        <w:rPr/>
        <w:t>, the Tribunal therefore continued the proceedings under Section 25(b) and (c) of the Act. Section 25(b) provides that a failure to communicate a defence is not, by itself, to be treated as an admission of the claim. The Tribunal has accordingly held the Claimant strictly to proof, and has independently examined the Agreement, the accounts and the computation before making this Award on the evidence before it.</w:t>
      </w:r>
    </w:p>
    <w:p>
      <w:pPr>
        <w:pStyle w:val="TemplateDirective"/>
      </w:pPr>
      <w:r>
        <w:t>[[ELSE]]</w:t>
      </w:r>
    </w:p>
    <w:p>
      <w:pPr>
        <w:numPr>
          <w:ilvl w:val="0"/>
          <w:numId w:val="80"/>
        </w:numPr>
      </w:pPr>
      <w:r>
        <w:rPr/>
        <w:t xml:space="preserve">The Respondent appeared </w:t>
      </w:r>
      <w:r>
        <w:rPr/>
        <w:t>{{respondent_appearance_mode}}</w:t>
      </w:r>
      <w:r>
        <w:rPr/>
        <w:t xml:space="preserve"> and filed a Statement of Defence dated </w:t>
      </w:r>
      <w:r>
        <w:rPr/>
        <w:t>{{sod_date}}</w:t>
      </w:r>
      <w:r>
        <w:rPr/>
        <w:t xml:space="preserve">. In substance, the Respondent contends that </w:t>
      </w:r>
      <w:r>
        <w:rPr/>
        <w:t>{{respondent_defence_summary}}</w:t>
      </w:r>
      <w:r>
        <w:rPr/>
        <w:t>.</w:t>
      </w:r>
    </w:p>
    <w:p>
      <w:pPr>
        <w:numPr>
          <w:ilvl w:val="0"/>
          <w:numId w:val="80"/>
        </w:numPr>
      </w:pPr>
      <w:r>
        <w:rPr/>
        <w:t xml:space="preserve">The Claimant filed a rejoinder dated </w:t>
      </w:r>
      <w:r>
        <w:rPr/>
        <w:t>{{rejoinder_date}}</w:t>
      </w:r>
      <w:r>
        <w:rPr/>
        <w:t xml:space="preserve">, contending that </w:t>
      </w:r>
      <w:r>
        <w:rPr/>
        <w:t>{{claimant_rejoinder_summary}}</w:t>
      </w:r>
      <w:r>
        <w:rPr/>
        <w:t>.</w:t>
      </w:r>
    </w:p>
    <w:p>
      <w:pPr>
        <w:numPr>
          <w:ilvl w:val="0"/>
          <w:numId w:val="80"/>
        </w:numPr>
      </w:pPr>
      <w:r>
        <w:rPr/>
        <w:t>{{respondent_evidence_summary}}</w:t>
      </w:r>
      <w:r>
        <w:rPr/>
        <w:t xml:space="preserve"> The Tribunal heard oral arguments on </w:t>
      </w:r>
      <w:r>
        <w:rPr/>
        <w:t>{{final_arguments_date}}</w:t>
      </w:r>
      <w:r>
        <w:rPr/>
        <w:t xml:space="preserve"> and has considered the written submissions on record.</w:t>
      </w:r>
    </w:p>
    <w:p>
      <w:pPr>
        <w:pStyle w:val="TemplateDirective"/>
      </w:pPr>
      <w:r>
        <w:t>[[END]]</w:t>
      </w:r>
    </w:p>
    <w:p>
      <w:pPr>
        <w:keepNext/>
        <w:spacing w:before="280" w:after="120"/>
        <w:jc w:val="left"/>
      </w:pPr>
      <w:r>
        <w:rPr>
          <w:b/>
          <w:smallCaps/>
          <w:sz w:val="24"/>
        </w:rPr>
        <w:t>H. Points for Determination</w:t>
      </w:r>
    </w:p>
    <w:p>
      <w:pPr>
        <w:keepNext/>
        <w:numPr>
          <w:ilvl w:val="0"/>
          <w:numId w:val="80"/>
        </w:numPr>
      </w:pPr>
      <w:r>
        <w:rPr/>
        <w:t>On the pleadings and the material on record, the following points arise for determination:</w:t>
      </w:r>
    </w:p>
    <w:p>
      <w:pPr>
        <w:numPr>
          <w:ilvl w:val="0"/>
          <w:numId w:val="81"/>
        </w:numPr>
        <w:spacing w:after="60"/>
      </w:pPr>
      <w:r>
        <w:rPr/>
        <w:t>Whether the Tribunal has jurisdiction, and whether the claim is within limitation?</w:t>
      </w:r>
    </w:p>
    <w:p>
      <w:pPr>
        <w:numPr>
          <w:ilvl w:val="0"/>
          <w:numId w:val="81"/>
        </w:numPr>
        <w:spacing w:after="60"/>
      </w:pPr>
      <w:r>
        <w:rPr/>
        <w:t>Whether the Respondent availed the facility and committed default under the Agreement?</w:t>
      </w:r>
    </w:p>
    <w:p>
      <w:pPr>
        <w:numPr>
          <w:ilvl w:val="0"/>
          <w:numId w:val="81"/>
        </w:numPr>
        <w:spacing w:after="60"/>
      </w:pPr>
      <w:r>
        <w:rPr/>
        <w:t>Whether the Claimant has proved the amount claimed and, if so, to what extent?</w:t>
      </w:r>
    </w:p>
    <w:p>
      <w:pPr>
        <w:numPr>
          <w:ilvl w:val="0"/>
          <w:numId w:val="81"/>
        </w:numPr>
        <w:spacing w:after="60"/>
      </w:pPr>
      <w:r>
        <w:rPr/>
        <w:t>Whether the Claimant is entitled to interest and, if so, at what rate and for what period?</w:t>
      </w:r>
    </w:p>
    <w:p>
      <w:pPr>
        <w:numPr>
          <w:ilvl w:val="0"/>
          <w:numId w:val="81"/>
        </w:numPr>
        <w:spacing w:after="60"/>
      </w:pPr>
      <w:r>
        <w:rPr/>
        <w:t>What order should be made as to costs?</w:t>
      </w:r>
    </w:p>
    <w:p>
      <w:pPr>
        <w:keepNext/>
        <w:spacing w:before="280" w:after="120"/>
        <w:jc w:val="left"/>
      </w:pPr>
      <w:r>
        <w:rPr>
          <w:b/>
          <w:smallCaps/>
          <w:sz w:val="24"/>
        </w:rPr>
        <w:t>I. Analysis, Findings and Reasons</w:t>
      </w:r>
    </w:p>
    <w:p>
      <w:pPr>
        <w:keepNext/>
        <w:spacing w:before="120" w:after="80"/>
        <w:jc w:val="left"/>
      </w:pPr>
      <w:r>
        <w:rPr>
          <w:b/>
          <w:i/>
        </w:rPr>
        <w:t>Point (i): Jurisdiction and limitation</w:t>
      </w:r>
    </w:p>
    <w:p>
      <w:pPr>
        <w:numPr>
          <w:ilvl w:val="0"/>
          <w:numId w:val="80"/>
        </w:numPr>
      </w:pPr>
      <w:r>
        <w:rPr/>
        <w:t xml:space="preserve">The arbitration agreement is valid and was duly invoked, and the Tribunal was constituted in the manner recorded in Section C. The claim falls within the scope of the arbitration agreement. Under Section 43 of the Act, the Limitation Act, 1963 applies to arbitrations as it applies to proceedings in court. The amounts claimed fell due from </w:t>
      </w:r>
      <w:r>
        <w:rPr/>
        <w:t>{{default_date}}</w:t>
      </w:r>
      <w:r>
        <w:rPr/>
        <w:t xml:space="preserve">. The Respondent’s last payment or acknowledgment of liability was made on </w:t>
      </w:r>
      <w:r>
        <w:rPr/>
        <w:t>{{last_payment_date}}</w:t>
      </w:r>
      <w:r>
        <w:rPr/>
        <w:t xml:space="preserve">. The proceedings commenced on </w:t>
      </w:r>
      <w:r>
        <w:rPr/>
        <w:t>{{sec21_delivery_date}}</w:t>
      </w:r>
      <w:r>
        <w:rPr/>
        <w:t>, within three years of the cause of action, computed with the benefit of Sections 18 and 19 of the Limitation Act where applicable. Point (i) is answered in favour of the Claimant.</w:t>
      </w:r>
    </w:p>
    <w:p>
      <w:pPr>
        <w:keepNext/>
        <w:spacing w:before="120" w:after="80"/>
        <w:jc w:val="left"/>
      </w:pPr>
      <w:r>
        <w:rPr>
          <w:b/>
          <w:i/>
        </w:rPr>
        <w:t>Point (ii): Availment and default</w:t>
      </w:r>
    </w:p>
    <w:p>
      <w:pPr>
        <w:pStyle w:val="TemplateDirective"/>
      </w:pPr>
      <w:r>
        <w:t>[[IF personal_loan]]</w:t>
      </w:r>
    </w:p>
    <w:p>
      <w:pPr>
        <w:numPr>
          <w:ilvl w:val="0"/>
          <w:numId w:val="80"/>
        </w:numPr>
      </w:pPr>
      <w:r>
        <w:rPr/>
        <w:t xml:space="preserve">The loan application, the Agreement, the sanction letter and the disbursement entry establish that the loan was sanctioned and disbursed. The statement of account shows that EMIs remained unpaid from </w:t>
      </w:r>
      <w:r>
        <w:rPr/>
        <w:t>{{default_date}}</w:t>
      </w:r>
      <w:r>
        <w:rPr/>
        <w:t>, and that the NACH / ECS mandates presented on the due dates were returned unpaid.</w:t>
      </w:r>
    </w:p>
    <w:p>
      <w:pPr>
        <w:pStyle w:val="TemplateDirective"/>
      </w:pPr>
      <w:r>
        <w:t>[[END]]</w:t>
      </w:r>
    </w:p>
    <w:p>
      <w:pPr>
        <w:pStyle w:val="TemplateDirective"/>
      </w:pPr>
      <w:r>
        <w:t>[[IF credit_card]]</w:t>
      </w:r>
    </w:p>
    <w:p>
      <w:pPr>
        <w:numPr>
          <w:ilvl w:val="0"/>
          <w:numId w:val="80"/>
        </w:numPr>
      </w:pPr>
      <w:r>
        <w:rPr/>
        <w:t xml:space="preserve">The card application, the Agreement, the MITC, the proof of card delivery and activation, and the monthly statements establish that the card was issued to and used by the Respondent. The statements show transactions made on the card, and show that the minimum amount due remained unpaid from the statement dated </w:t>
      </w:r>
      <w:r>
        <w:rPr/>
        <w:t>{{default_date}}</w:t>
      </w:r>
      <w:r>
        <w:rPr/>
        <w:t>.</w:t>
      </w:r>
    </w:p>
    <w:p>
      <w:pPr>
        <w:pStyle w:val="TemplateDirective"/>
      </w:pPr>
      <w:r>
        <w:t>[[END]]</w:t>
      </w:r>
    </w:p>
    <w:p>
      <w:pPr>
        <w:pStyle w:val="TemplateDirective"/>
      </w:pPr>
      <w:r>
        <w:t>[[IF ex_parte]]</w:t>
      </w:r>
    </w:p>
    <w:p>
      <w:pPr>
        <w:numPr>
          <w:ilvl w:val="0"/>
          <w:numId w:val="80"/>
        </w:numPr>
      </w:pPr>
      <w:r>
        <w:rPr/>
        <w:t>This evidence is documentary, contemporaneous and internally consistent, and nothing on record contradicts it. Point (ii) is answered in favour of the Claimant.</w:t>
      </w:r>
    </w:p>
    <w:p>
      <w:pPr>
        <w:pStyle w:val="TemplateDirective"/>
      </w:pPr>
      <w:r>
        <w:t>[[ELSE]]</w:t>
      </w:r>
    </w:p>
    <w:p>
      <w:pPr>
        <w:numPr>
          <w:ilvl w:val="0"/>
          <w:numId w:val="80"/>
        </w:numPr>
      </w:pPr>
      <w:r>
        <w:rPr/>
        <w:t xml:space="preserve">The Respondent does not seriously dispute executing the Agreement or receiving the facility. As to the defence, </w:t>
      </w:r>
      <w:r>
        <w:rPr/>
        <w:t>{{tribunal_reasons_on_defence}}</w:t>
      </w:r>
      <w:r>
        <w:rPr/>
        <w:t xml:space="preserve"> Financial hardship, however genuine, does not discharge a contractual obligation to repay, although the Tribunal has taken it into account when determining interest. Point (ii) is answered in favour of the Claimant.</w:t>
      </w:r>
    </w:p>
    <w:p>
      <w:pPr>
        <w:pStyle w:val="TemplateDirective"/>
      </w:pPr>
      <w:r>
        <w:t>[[END]]</w:t>
      </w:r>
    </w:p>
    <w:p>
      <w:pPr>
        <w:keepNext/>
        <w:spacing w:before="120" w:after="80"/>
        <w:jc w:val="left"/>
      </w:pPr>
      <w:r>
        <w:rPr>
          <w:b/>
          <w:i/>
        </w:rPr>
        <w:t>Point (iii): Quantum</w:t>
      </w:r>
    </w:p>
    <w:p>
      <w:pPr>
        <w:numPr>
          <w:ilvl w:val="0"/>
          <w:numId w:val="80"/>
        </w:numPr>
      </w:pPr>
      <w:r>
        <w:rPr/>
        <w:t xml:space="preserve">The Claimant has produced a statement of account certified under Section 2(8) of the Bankers’ Books Evidence Act, 1891, with the certificate required by Section 2A for computer printouts. Under Section 4 of that Act, such a certified copy is </w:t>
      </w:r>
      <w:r>
        <w:rPr>
          <w:i/>
        </w:rPr>
        <w:t>prima facie</w:t>
      </w:r>
      <w:r>
        <w:rPr/>
        <w:t xml:space="preserve"> evidence of the existence of the entries and is admitted as evidence of the matters and transactions recorded in them. The Tribunal has nonetheless examined the entries itself: the disbursal or debits, every credit received, the interest applied at the contractual rate, and each charge levied.</w:t>
      </w:r>
    </w:p>
    <w:p>
      <w:pPr>
        <w:numPr>
          <w:ilvl w:val="0"/>
          <w:numId w:val="80"/>
        </w:numPr>
      </w:pPr>
      <w:r>
        <w:rPr/>
        <w:t xml:space="preserve">The Tribunal has allowed only those charges that are stipulated in the Agreement and were disclosed to the Respondent (in the MITC or Key Fact Statement, as the case may be). In keeping with the Reserve Bank of India’s directions on penal charges in loan accounts and on the conduct of credit card business, penal or late-payment charges have not been capitalised and no interest has been allowed on them. </w:t>
      </w:r>
      <w:r>
        <w:rPr/>
        <w:t>{{disallowed_items_note}}</w:t>
      </w:r>
    </w:p>
    <w:p>
      <w:pPr>
        <w:keepNext/>
        <w:numPr>
          <w:ilvl w:val="0"/>
          <w:numId w:val="80"/>
        </w:numPr>
      </w:pPr>
      <w:r>
        <w:rPr/>
        <w:t xml:space="preserve">On this basis, the Tribunal determines the amount due as on </w:t>
      </w:r>
      <w:r>
        <w:rPr/>
        <w:t>{{claim_as_on_date}}</w:t>
      </w:r>
      <w:r>
        <w:rPr/>
        <w:t xml:space="preserve"> as follows:</w:t>
      </w:r>
    </w:p>
    <w:p>
      <w:pPr>
        <w:pStyle w:val="TemplateDirective"/>
      </w:pPr>
      <w:r>
        <w:t>[[IF personal_loan]]</w:t>
      </w:r>
    </w:p>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4479"/>
        <w:gridCol w:w="2211"/>
        <w:gridCol w:w="2211"/>
      </w:tblGrid>
      <w:tr>
        <w:trPr>
          <w:tblHeader w:val="true"/>
          <w:cantSplit w:val="true"/>
        </w:trPr>
        <w:tc>
          <w:tcPr>
            <w:tcW w:type="dxa" w:w="4479"/>
            <w:vAlign w:val="top"/>
            <w:shd w:val="clear" w:color="auto" w:fill="E7E3DA"/>
          </w:tcPr>
          <w:p>
            <w:pPr>
              <w:keepNext/>
              <w:spacing w:after="40" w:before="20" w:line="252" w:lineRule="auto"/>
              <w:jc w:val="left"/>
            </w:pPr>
            <w:r>
              <w:rPr>
                <w:b/>
                <w:sz w:val="19"/>
              </w:rPr>
              <w:t>Particulars</w:t>
            </w:r>
          </w:p>
        </w:tc>
        <w:tc>
          <w:tcPr>
            <w:tcW w:type="dxa" w:w="2211"/>
            <w:vAlign w:val="top"/>
            <w:shd w:val="clear" w:color="auto" w:fill="E7E3DA"/>
          </w:tcPr>
          <w:p>
            <w:pPr>
              <w:keepNext/>
              <w:spacing w:after="40" w:before="20" w:line="252" w:lineRule="auto"/>
              <w:jc w:val="right"/>
            </w:pPr>
            <w:r>
              <w:rPr>
                <w:b/>
                <w:sz w:val="19"/>
              </w:rPr>
              <w:t>Claimed (Rs.)</w:t>
            </w:r>
          </w:p>
        </w:tc>
        <w:tc>
          <w:tcPr>
            <w:tcW w:type="dxa" w:w="2211"/>
            <w:vAlign w:val="top"/>
            <w:shd w:val="clear" w:color="auto" w:fill="E7E3DA"/>
          </w:tcPr>
          <w:p>
            <w:pPr>
              <w:keepNext/>
              <w:spacing w:after="40" w:before="20" w:line="252" w:lineRule="auto"/>
              <w:jc w:val="right"/>
            </w:pPr>
            <w:r>
              <w:rPr>
                <w:b/>
                <w:sz w:val="19"/>
              </w:rPr>
              <w:t>Allowed (Rs.)</w:t>
            </w:r>
          </w:p>
        </w:tc>
      </w:tr>
      <w:tr>
        <w:trPr>
          <w:cantSplit w:val="true"/>
        </w:trPr>
        <w:tc>
          <w:tcPr>
            <w:tcW w:type="dxa" w:w="4479"/>
            <w:vAlign w:val="top"/>
          </w:tcPr>
          <w:p>
            <w:pPr>
              <w:keepNext/>
              <w:spacing w:after="40" w:before="20" w:line="252" w:lineRule="auto"/>
              <w:jc w:val="left"/>
            </w:pPr>
            <w:r>
              <w:rPr>
                <w:sz w:val="19"/>
              </w:rPr>
              <w:t>(a) Principal outstanding</w:t>
            </w:r>
          </w:p>
        </w:tc>
        <w:tc>
          <w:tcPr>
            <w:tcW w:type="dxa" w:w="2211"/>
            <w:vAlign w:val="top"/>
          </w:tcPr>
          <w:p>
            <w:pPr>
              <w:keepNext/>
              <w:spacing w:after="40" w:before="20" w:line="252" w:lineRule="auto"/>
              <w:jc w:val="right"/>
            </w:pPr>
            <w:r>
              <w:rPr>
                <w:sz w:val="19"/>
              </w:rPr>
              <w:t>{{pl_principal_claimed}}</w:t>
            </w:r>
          </w:p>
        </w:tc>
        <w:tc>
          <w:tcPr>
            <w:tcW w:type="dxa" w:w="2211"/>
            <w:vAlign w:val="top"/>
          </w:tcPr>
          <w:p>
            <w:pPr>
              <w:keepNext/>
              <w:spacing w:after="40" w:before="20" w:line="252" w:lineRule="auto"/>
              <w:jc w:val="right"/>
            </w:pPr>
            <w:r>
              <w:rPr>
                <w:sz w:val="19"/>
              </w:rPr>
              <w:t>{{pl_principal_allowed}}</w:t>
            </w:r>
          </w:p>
        </w:tc>
      </w:tr>
      <w:tr>
        <w:trPr>
          <w:cantSplit w:val="true"/>
        </w:trPr>
        <w:tc>
          <w:tcPr>
            <w:tcW w:type="dxa" w:w="4479"/>
            <w:vAlign w:val="top"/>
          </w:tcPr>
          <w:p>
            <w:pPr>
              <w:keepNext/>
              <w:spacing w:after="40" w:before="20" w:line="252" w:lineRule="auto"/>
              <w:jc w:val="left"/>
            </w:pPr>
            <w:r>
              <w:rPr>
                <w:sz w:val="19"/>
              </w:rPr>
              <w:t xml:space="preserve">(b) Contractual interest accrued up to </w:t>
            </w:r>
            <w:r>
              <w:rPr>
                <w:sz w:val="19"/>
              </w:rPr>
              <w:t>{{claim_as_on_date}}</w:t>
            </w:r>
          </w:p>
        </w:tc>
        <w:tc>
          <w:tcPr>
            <w:tcW w:type="dxa" w:w="2211"/>
            <w:vAlign w:val="top"/>
          </w:tcPr>
          <w:p>
            <w:pPr>
              <w:keepNext/>
              <w:spacing w:after="40" w:before="20" w:line="252" w:lineRule="auto"/>
              <w:jc w:val="right"/>
            </w:pPr>
            <w:r>
              <w:rPr>
                <w:sz w:val="19"/>
              </w:rPr>
              <w:t>{{pl_interest_claimed}}</w:t>
            </w:r>
          </w:p>
        </w:tc>
        <w:tc>
          <w:tcPr>
            <w:tcW w:type="dxa" w:w="2211"/>
            <w:vAlign w:val="top"/>
          </w:tcPr>
          <w:p>
            <w:pPr>
              <w:keepNext/>
              <w:spacing w:after="40" w:before="20" w:line="252" w:lineRule="auto"/>
              <w:jc w:val="right"/>
            </w:pPr>
            <w:r>
              <w:rPr>
                <w:sz w:val="19"/>
              </w:rPr>
              <w:t>{{pl_interest_allowed}}</w:t>
            </w:r>
          </w:p>
        </w:tc>
      </w:tr>
      <w:tr>
        <w:trPr>
          <w:cantSplit w:val="true"/>
        </w:trPr>
        <w:tc>
          <w:tcPr>
            <w:tcW w:type="dxa" w:w="4479"/>
            <w:vAlign w:val="top"/>
          </w:tcPr>
          <w:p>
            <w:pPr>
              <w:keepNext/>
              <w:spacing w:after="40" w:before="20" w:line="252" w:lineRule="auto"/>
              <w:jc w:val="left"/>
            </w:pPr>
            <w:r>
              <w:rPr>
                <w:sz w:val="19"/>
              </w:rPr>
              <w:t>(c) Penal charges (not compounded or capitalised)</w:t>
            </w:r>
          </w:p>
        </w:tc>
        <w:tc>
          <w:tcPr>
            <w:tcW w:type="dxa" w:w="2211"/>
            <w:vAlign w:val="top"/>
          </w:tcPr>
          <w:p>
            <w:pPr>
              <w:keepNext/>
              <w:spacing w:after="40" w:before="20" w:line="252" w:lineRule="auto"/>
              <w:jc w:val="right"/>
            </w:pPr>
            <w:r>
              <w:rPr>
                <w:sz w:val="19"/>
              </w:rPr>
              <w:t>{{pl_penal_claimed}}</w:t>
            </w:r>
          </w:p>
        </w:tc>
        <w:tc>
          <w:tcPr>
            <w:tcW w:type="dxa" w:w="2211"/>
            <w:vAlign w:val="top"/>
          </w:tcPr>
          <w:p>
            <w:pPr>
              <w:keepNext/>
              <w:spacing w:after="40" w:before="20" w:line="252" w:lineRule="auto"/>
              <w:jc w:val="right"/>
            </w:pPr>
            <w:r>
              <w:rPr>
                <w:sz w:val="19"/>
              </w:rPr>
              <w:t>{{pl_penal_allowed}}</w:t>
            </w:r>
          </w:p>
        </w:tc>
      </w:tr>
      <w:tr>
        <w:trPr>
          <w:cantSplit w:val="true"/>
        </w:trPr>
        <w:tc>
          <w:tcPr>
            <w:tcW w:type="dxa" w:w="4479"/>
            <w:vAlign w:val="top"/>
          </w:tcPr>
          <w:p>
            <w:pPr>
              <w:keepNext/>
              <w:spacing w:after="40" w:before="20" w:line="252" w:lineRule="auto"/>
              <w:jc w:val="left"/>
            </w:pPr>
            <w:r>
              <w:rPr>
                <w:sz w:val="19"/>
              </w:rPr>
              <w:t>(d) Other contractual charges (NACH / cheque return charges, etc.) including GST</w:t>
            </w:r>
          </w:p>
        </w:tc>
        <w:tc>
          <w:tcPr>
            <w:tcW w:type="dxa" w:w="2211"/>
            <w:vAlign w:val="top"/>
          </w:tcPr>
          <w:p>
            <w:pPr>
              <w:keepNext/>
              <w:spacing w:after="40" w:before="20" w:line="252" w:lineRule="auto"/>
              <w:jc w:val="right"/>
            </w:pPr>
            <w:r>
              <w:rPr>
                <w:sz w:val="19"/>
              </w:rPr>
              <w:t>{{pl_other_claimed}}</w:t>
            </w:r>
          </w:p>
        </w:tc>
        <w:tc>
          <w:tcPr>
            <w:tcW w:type="dxa" w:w="2211"/>
            <w:vAlign w:val="top"/>
          </w:tcPr>
          <w:p>
            <w:pPr>
              <w:keepNext/>
              <w:spacing w:after="40" w:before="20" w:line="252" w:lineRule="auto"/>
              <w:jc w:val="right"/>
            </w:pPr>
            <w:r>
              <w:rPr>
                <w:sz w:val="19"/>
              </w:rPr>
              <w:t>{{pl_other_allowed}}</w:t>
            </w:r>
          </w:p>
        </w:tc>
      </w:tr>
      <w:tr>
        <w:trPr>
          <w:cantSplit w:val="true"/>
        </w:trPr>
        <w:tc>
          <w:tcPr>
            <w:tcW w:type="dxa" w:w="4479"/>
            <w:vAlign w:val="top"/>
          </w:tcPr>
          <w:p>
            <w:pPr>
              <w:keepNext/>
              <w:spacing w:after="40" w:before="20" w:line="252" w:lineRule="auto"/>
              <w:jc w:val="left"/>
            </w:pPr>
            <w:r>
              <w:rPr>
                <w:sz w:val="19"/>
              </w:rPr>
              <w:t>(e) Less: amounts received or credited after recall</w:t>
            </w:r>
          </w:p>
        </w:tc>
        <w:tc>
          <w:tcPr>
            <w:tcW w:type="dxa" w:w="2211"/>
            <w:vAlign w:val="top"/>
          </w:tcPr>
          <w:p>
            <w:pPr>
              <w:keepNext/>
              <w:spacing w:after="40" w:before="20" w:line="252" w:lineRule="auto"/>
              <w:jc w:val="right"/>
            </w:pPr>
            <w:r>
              <w:rPr>
                <w:sz w:val="19"/>
              </w:rPr>
              <w:t>(</w:t>
            </w:r>
            <w:r>
              <w:rPr>
                <w:sz w:val="19"/>
              </w:rPr>
              <w:t>{{pl_credits_claimed}}</w:t>
            </w:r>
            <w:r>
              <w:rPr>
                <w:sz w:val="19"/>
              </w:rPr>
              <w:t>)</w:t>
            </w:r>
          </w:p>
        </w:tc>
        <w:tc>
          <w:tcPr>
            <w:tcW w:type="dxa" w:w="2211"/>
            <w:vAlign w:val="top"/>
          </w:tcPr>
          <w:p>
            <w:pPr>
              <w:keepNext/>
              <w:spacing w:after="40" w:before="20" w:line="252" w:lineRule="auto"/>
              <w:jc w:val="right"/>
            </w:pPr>
            <w:r>
              <w:rPr>
                <w:sz w:val="19"/>
              </w:rPr>
              <w:t>(</w:t>
            </w:r>
            <w:r>
              <w:rPr>
                <w:sz w:val="19"/>
              </w:rPr>
              <w:t>{{pl_credits_allowed}}</w:t>
            </w:r>
            <w:r>
              <w:rPr>
                <w:sz w:val="19"/>
              </w:rPr>
              <w:t>)</w:t>
            </w:r>
          </w:p>
        </w:tc>
      </w:tr>
      <w:tr>
        <w:trPr>
          <w:cantSplit w:val="true"/>
        </w:trPr>
        <w:tc>
          <w:tcPr>
            <w:tcW w:type="dxa" w:w="4479"/>
            <w:vAlign w:val="top"/>
            <w:shd w:val="clear" w:color="auto" w:fill="F4F2EC"/>
          </w:tcPr>
          <w:p>
            <w:pPr>
              <w:keepNext w:val="0"/>
              <w:spacing w:after="40" w:before="20" w:line="252" w:lineRule="auto"/>
              <w:jc w:val="left"/>
            </w:pPr>
            <w:r>
              <w:rPr>
                <w:b/>
                <w:sz w:val="19"/>
              </w:rPr>
              <w:t>Total</w:t>
            </w:r>
          </w:p>
        </w:tc>
        <w:tc>
          <w:tcPr>
            <w:tcW w:type="dxa" w:w="2211"/>
            <w:vAlign w:val="top"/>
            <w:shd w:val="clear" w:color="auto" w:fill="F4F2EC"/>
          </w:tcPr>
          <w:p>
            <w:pPr>
              <w:keepNext w:val="0"/>
              <w:spacing w:after="40" w:before="20" w:line="252" w:lineRule="auto"/>
              <w:jc w:val="right"/>
            </w:pPr>
            <w:r>
              <w:rPr>
                <w:b/>
                <w:sz w:val="19"/>
              </w:rPr>
              <w:t>{{claim_amount}}</w:t>
            </w:r>
          </w:p>
        </w:tc>
        <w:tc>
          <w:tcPr>
            <w:tcW w:type="dxa" w:w="2211"/>
            <w:vAlign w:val="top"/>
            <w:shd w:val="clear" w:color="auto" w:fill="F4F2EC"/>
          </w:tcPr>
          <w:p>
            <w:pPr>
              <w:keepNext w:val="0"/>
              <w:spacing w:after="40" w:before="20" w:line="252" w:lineRule="auto"/>
              <w:jc w:val="right"/>
            </w:pPr>
            <w:r>
              <w:rPr>
                <w:b/>
                <w:sz w:val="19"/>
              </w:rPr>
              <w:t>{{award_amount}}</w:t>
            </w:r>
          </w:p>
        </w:tc>
      </w:tr>
    </w:tbl>
    <w:p>
      <w:pPr>
        <w:pStyle w:val="TemplateDirective"/>
      </w:pPr>
      <w:r>
        <w:t>[[END]]</w:t>
      </w:r>
    </w:p>
    <w:p>
      <w:pPr>
        <w:pStyle w:val="TemplateDirective"/>
      </w:pPr>
      <w:r>
        <w:t>[[IF credit_card]]</w:t>
      </w:r>
    </w:p>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4479"/>
        <w:gridCol w:w="2211"/>
        <w:gridCol w:w="2211"/>
      </w:tblGrid>
      <w:tr>
        <w:trPr>
          <w:tblHeader w:val="true"/>
          <w:cantSplit w:val="true"/>
        </w:trPr>
        <w:tc>
          <w:tcPr>
            <w:tcW w:type="dxa" w:w="4479"/>
            <w:vAlign w:val="top"/>
            <w:shd w:val="clear" w:color="auto" w:fill="E7E3DA"/>
          </w:tcPr>
          <w:p>
            <w:pPr>
              <w:keepNext/>
              <w:spacing w:after="40" w:before="20" w:line="252" w:lineRule="auto"/>
              <w:jc w:val="left"/>
            </w:pPr>
            <w:r>
              <w:rPr>
                <w:b/>
                <w:sz w:val="19"/>
              </w:rPr>
              <w:t>Particulars</w:t>
            </w:r>
          </w:p>
        </w:tc>
        <w:tc>
          <w:tcPr>
            <w:tcW w:type="dxa" w:w="2211"/>
            <w:vAlign w:val="top"/>
            <w:shd w:val="clear" w:color="auto" w:fill="E7E3DA"/>
          </w:tcPr>
          <w:p>
            <w:pPr>
              <w:keepNext/>
              <w:spacing w:after="40" w:before="20" w:line="252" w:lineRule="auto"/>
              <w:jc w:val="right"/>
            </w:pPr>
            <w:r>
              <w:rPr>
                <w:b/>
                <w:sz w:val="19"/>
              </w:rPr>
              <w:t>Claimed (Rs.)</w:t>
            </w:r>
          </w:p>
        </w:tc>
        <w:tc>
          <w:tcPr>
            <w:tcW w:type="dxa" w:w="2211"/>
            <w:vAlign w:val="top"/>
            <w:shd w:val="clear" w:color="auto" w:fill="E7E3DA"/>
          </w:tcPr>
          <w:p>
            <w:pPr>
              <w:keepNext/>
              <w:spacing w:after="40" w:before="20" w:line="252" w:lineRule="auto"/>
              <w:jc w:val="right"/>
            </w:pPr>
            <w:r>
              <w:rPr>
                <w:b/>
                <w:sz w:val="19"/>
              </w:rPr>
              <w:t>Allowed (Rs.)</w:t>
            </w:r>
          </w:p>
        </w:tc>
      </w:tr>
      <w:tr>
        <w:trPr>
          <w:cantSplit w:val="true"/>
        </w:trPr>
        <w:tc>
          <w:tcPr>
            <w:tcW w:type="dxa" w:w="4479"/>
            <w:vAlign w:val="top"/>
          </w:tcPr>
          <w:p>
            <w:pPr>
              <w:keepNext/>
              <w:spacing w:after="40" w:before="20" w:line="252" w:lineRule="auto"/>
              <w:jc w:val="left"/>
            </w:pPr>
            <w:r>
              <w:rPr>
                <w:sz w:val="19"/>
              </w:rPr>
              <w:t>(a) Principal outstanding (retail purchases, cash advances, EMI conversions)</w:t>
            </w:r>
          </w:p>
        </w:tc>
        <w:tc>
          <w:tcPr>
            <w:tcW w:type="dxa" w:w="2211"/>
            <w:vAlign w:val="top"/>
          </w:tcPr>
          <w:p>
            <w:pPr>
              <w:keepNext/>
              <w:spacing w:after="40" w:before="20" w:line="252" w:lineRule="auto"/>
              <w:jc w:val="right"/>
            </w:pPr>
            <w:r>
              <w:rPr>
                <w:sz w:val="19"/>
              </w:rPr>
              <w:t>{{cc_principal_claimed}}</w:t>
            </w:r>
          </w:p>
        </w:tc>
        <w:tc>
          <w:tcPr>
            <w:tcW w:type="dxa" w:w="2211"/>
            <w:vAlign w:val="top"/>
          </w:tcPr>
          <w:p>
            <w:pPr>
              <w:keepNext/>
              <w:spacing w:after="40" w:before="20" w:line="252" w:lineRule="auto"/>
              <w:jc w:val="right"/>
            </w:pPr>
            <w:r>
              <w:rPr>
                <w:sz w:val="19"/>
              </w:rPr>
              <w:t>{{cc_principal_allowed}}</w:t>
            </w:r>
          </w:p>
        </w:tc>
      </w:tr>
      <w:tr>
        <w:trPr>
          <w:cantSplit w:val="true"/>
        </w:trPr>
        <w:tc>
          <w:tcPr>
            <w:tcW w:type="dxa" w:w="4479"/>
            <w:vAlign w:val="top"/>
          </w:tcPr>
          <w:p>
            <w:pPr>
              <w:keepNext/>
              <w:spacing w:after="40" w:before="20" w:line="252" w:lineRule="auto"/>
              <w:jc w:val="left"/>
            </w:pPr>
            <w:r>
              <w:rPr>
                <w:sz w:val="19"/>
              </w:rPr>
              <w:t xml:space="preserve">(b) Finance charges / interest up to </w:t>
            </w:r>
            <w:r>
              <w:rPr>
                <w:sz w:val="19"/>
              </w:rPr>
              <w:t>{{claim_as_on_date}}</w:t>
            </w:r>
          </w:p>
        </w:tc>
        <w:tc>
          <w:tcPr>
            <w:tcW w:type="dxa" w:w="2211"/>
            <w:vAlign w:val="top"/>
          </w:tcPr>
          <w:p>
            <w:pPr>
              <w:keepNext/>
              <w:spacing w:after="40" w:before="20" w:line="252" w:lineRule="auto"/>
              <w:jc w:val="right"/>
            </w:pPr>
            <w:r>
              <w:rPr>
                <w:sz w:val="19"/>
              </w:rPr>
              <w:t>{{cc_finance_claimed}}</w:t>
            </w:r>
          </w:p>
        </w:tc>
        <w:tc>
          <w:tcPr>
            <w:tcW w:type="dxa" w:w="2211"/>
            <w:vAlign w:val="top"/>
          </w:tcPr>
          <w:p>
            <w:pPr>
              <w:keepNext/>
              <w:spacing w:after="40" w:before="20" w:line="252" w:lineRule="auto"/>
              <w:jc w:val="right"/>
            </w:pPr>
            <w:r>
              <w:rPr>
                <w:sz w:val="19"/>
              </w:rPr>
              <w:t>{{cc_finance_allowed}}</w:t>
            </w:r>
          </w:p>
        </w:tc>
      </w:tr>
      <w:tr>
        <w:trPr>
          <w:cantSplit w:val="true"/>
        </w:trPr>
        <w:tc>
          <w:tcPr>
            <w:tcW w:type="dxa" w:w="4479"/>
            <w:vAlign w:val="top"/>
          </w:tcPr>
          <w:p>
            <w:pPr>
              <w:keepNext/>
              <w:spacing w:after="40" w:before="20" w:line="252" w:lineRule="auto"/>
              <w:jc w:val="left"/>
            </w:pPr>
            <w:r>
              <w:rPr>
                <w:sz w:val="19"/>
              </w:rPr>
              <w:t>(c) Late payment charges (no interest charged on them)</w:t>
            </w:r>
          </w:p>
        </w:tc>
        <w:tc>
          <w:tcPr>
            <w:tcW w:type="dxa" w:w="2211"/>
            <w:vAlign w:val="top"/>
          </w:tcPr>
          <w:p>
            <w:pPr>
              <w:keepNext/>
              <w:spacing w:after="40" w:before="20" w:line="252" w:lineRule="auto"/>
              <w:jc w:val="right"/>
            </w:pPr>
            <w:r>
              <w:rPr>
                <w:sz w:val="19"/>
              </w:rPr>
              <w:t>{{cc_late_claimed}}</w:t>
            </w:r>
          </w:p>
        </w:tc>
        <w:tc>
          <w:tcPr>
            <w:tcW w:type="dxa" w:w="2211"/>
            <w:vAlign w:val="top"/>
          </w:tcPr>
          <w:p>
            <w:pPr>
              <w:keepNext/>
              <w:spacing w:after="40" w:before="20" w:line="252" w:lineRule="auto"/>
              <w:jc w:val="right"/>
            </w:pPr>
            <w:r>
              <w:rPr>
                <w:sz w:val="19"/>
              </w:rPr>
              <w:t>{{cc_late_allowed}}</w:t>
            </w:r>
          </w:p>
        </w:tc>
      </w:tr>
      <w:tr>
        <w:trPr>
          <w:cantSplit w:val="true"/>
        </w:trPr>
        <w:tc>
          <w:tcPr>
            <w:tcW w:type="dxa" w:w="4479"/>
            <w:vAlign w:val="top"/>
          </w:tcPr>
          <w:p>
            <w:pPr>
              <w:keepNext/>
              <w:spacing w:after="40" w:before="20" w:line="252" w:lineRule="auto"/>
              <w:jc w:val="left"/>
            </w:pPr>
            <w:r>
              <w:rPr>
                <w:sz w:val="19"/>
              </w:rPr>
              <w:t>(d) Other fees and taxes, including GST (not capitalised)</w:t>
            </w:r>
          </w:p>
        </w:tc>
        <w:tc>
          <w:tcPr>
            <w:tcW w:type="dxa" w:w="2211"/>
            <w:vAlign w:val="top"/>
          </w:tcPr>
          <w:p>
            <w:pPr>
              <w:keepNext/>
              <w:spacing w:after="40" w:before="20" w:line="252" w:lineRule="auto"/>
              <w:jc w:val="right"/>
            </w:pPr>
            <w:r>
              <w:rPr>
                <w:sz w:val="19"/>
              </w:rPr>
              <w:t>{{cc_other_claimed}}</w:t>
            </w:r>
          </w:p>
        </w:tc>
        <w:tc>
          <w:tcPr>
            <w:tcW w:type="dxa" w:w="2211"/>
            <w:vAlign w:val="top"/>
          </w:tcPr>
          <w:p>
            <w:pPr>
              <w:keepNext/>
              <w:spacing w:after="40" w:before="20" w:line="252" w:lineRule="auto"/>
              <w:jc w:val="right"/>
            </w:pPr>
            <w:r>
              <w:rPr>
                <w:sz w:val="19"/>
              </w:rPr>
              <w:t>{{cc_other_allowed}}</w:t>
            </w:r>
          </w:p>
        </w:tc>
      </w:tr>
      <w:tr>
        <w:trPr>
          <w:cantSplit w:val="true"/>
        </w:trPr>
        <w:tc>
          <w:tcPr>
            <w:tcW w:type="dxa" w:w="4479"/>
            <w:vAlign w:val="top"/>
          </w:tcPr>
          <w:p>
            <w:pPr>
              <w:keepNext/>
              <w:spacing w:after="40" w:before="20" w:line="252" w:lineRule="auto"/>
              <w:jc w:val="left"/>
            </w:pPr>
            <w:r>
              <w:rPr>
                <w:sz w:val="19"/>
              </w:rPr>
              <w:t>(e) Less: payments, reversals and credits after blocking of card</w:t>
            </w:r>
          </w:p>
        </w:tc>
        <w:tc>
          <w:tcPr>
            <w:tcW w:type="dxa" w:w="2211"/>
            <w:vAlign w:val="top"/>
          </w:tcPr>
          <w:p>
            <w:pPr>
              <w:keepNext/>
              <w:spacing w:after="40" w:before="20" w:line="252" w:lineRule="auto"/>
              <w:jc w:val="right"/>
            </w:pPr>
            <w:r>
              <w:rPr>
                <w:sz w:val="19"/>
              </w:rPr>
              <w:t>(</w:t>
            </w:r>
            <w:r>
              <w:rPr>
                <w:sz w:val="19"/>
              </w:rPr>
              <w:t>{{cc_credits_claimed}}</w:t>
            </w:r>
            <w:r>
              <w:rPr>
                <w:sz w:val="19"/>
              </w:rPr>
              <w:t>)</w:t>
            </w:r>
          </w:p>
        </w:tc>
        <w:tc>
          <w:tcPr>
            <w:tcW w:type="dxa" w:w="2211"/>
            <w:vAlign w:val="top"/>
          </w:tcPr>
          <w:p>
            <w:pPr>
              <w:keepNext/>
              <w:spacing w:after="40" w:before="20" w:line="252" w:lineRule="auto"/>
              <w:jc w:val="right"/>
            </w:pPr>
            <w:r>
              <w:rPr>
                <w:sz w:val="19"/>
              </w:rPr>
              <w:t>(</w:t>
            </w:r>
            <w:r>
              <w:rPr>
                <w:sz w:val="19"/>
              </w:rPr>
              <w:t>{{cc_credits_allowed}}</w:t>
            </w:r>
            <w:r>
              <w:rPr>
                <w:sz w:val="19"/>
              </w:rPr>
              <w:t>)</w:t>
            </w:r>
          </w:p>
        </w:tc>
      </w:tr>
      <w:tr>
        <w:trPr>
          <w:cantSplit w:val="true"/>
        </w:trPr>
        <w:tc>
          <w:tcPr>
            <w:tcW w:type="dxa" w:w="4479"/>
            <w:vAlign w:val="top"/>
            <w:shd w:val="clear" w:color="auto" w:fill="F4F2EC"/>
          </w:tcPr>
          <w:p>
            <w:pPr>
              <w:keepNext w:val="0"/>
              <w:spacing w:after="40" w:before="20" w:line="252" w:lineRule="auto"/>
              <w:jc w:val="left"/>
            </w:pPr>
            <w:r>
              <w:rPr>
                <w:b/>
                <w:sz w:val="19"/>
              </w:rPr>
              <w:t>Total</w:t>
            </w:r>
          </w:p>
        </w:tc>
        <w:tc>
          <w:tcPr>
            <w:tcW w:type="dxa" w:w="2211"/>
            <w:vAlign w:val="top"/>
            <w:shd w:val="clear" w:color="auto" w:fill="F4F2EC"/>
          </w:tcPr>
          <w:p>
            <w:pPr>
              <w:keepNext w:val="0"/>
              <w:spacing w:after="40" w:before="20" w:line="252" w:lineRule="auto"/>
              <w:jc w:val="right"/>
            </w:pPr>
            <w:r>
              <w:rPr>
                <w:b/>
                <w:sz w:val="19"/>
              </w:rPr>
              <w:t>{{claim_amount}}</w:t>
            </w:r>
          </w:p>
        </w:tc>
        <w:tc>
          <w:tcPr>
            <w:tcW w:type="dxa" w:w="2211"/>
            <w:vAlign w:val="top"/>
            <w:shd w:val="clear" w:color="auto" w:fill="F4F2EC"/>
          </w:tcPr>
          <w:p>
            <w:pPr>
              <w:keepNext w:val="0"/>
              <w:spacing w:after="40" w:before="20" w:line="252" w:lineRule="auto"/>
              <w:jc w:val="right"/>
            </w:pPr>
            <w:r>
              <w:rPr>
                <w:b/>
                <w:sz w:val="19"/>
              </w:rPr>
              <w:t>{{award_amount}}</w:t>
            </w:r>
          </w:p>
        </w:tc>
      </w:tr>
    </w:tbl>
    <w:p>
      <w:pPr>
        <w:pStyle w:val="TemplateDirective"/>
      </w:pPr>
      <w:r>
        <w:t>[[END]]</w:t>
      </w:r>
    </w:p>
    <w:p>
      <w:pPr>
        <w:spacing w:after="80"/>
      </w:pPr>
    </w:p>
    <w:p>
      <w:pPr>
        <w:numPr>
          <w:ilvl w:val="0"/>
          <w:numId w:val="80"/>
        </w:numPr>
      </w:pPr>
      <w:r>
        <w:rPr/>
        <w:t xml:space="preserve">Point (iii) is answered by holding that the Claimant has proved Rs. </w:t>
      </w:r>
      <w:r>
        <w:rPr/>
        <w:t>{{award_amount}}</w:t>
      </w:r>
      <w:r>
        <w:rPr/>
        <w:t xml:space="preserve">/- as due from the Respondent on </w:t>
      </w:r>
      <w:r>
        <w:rPr/>
        <w:t>{{claim_as_on_date}}</w:t>
      </w:r>
      <w:r>
        <w:rPr/>
        <w:t>.</w:t>
      </w:r>
    </w:p>
    <w:p>
      <w:pPr>
        <w:keepNext/>
        <w:spacing w:before="120" w:after="80"/>
        <w:jc w:val="left"/>
      </w:pPr>
      <w:r>
        <w:rPr>
          <w:b/>
          <w:i/>
        </w:rPr>
        <w:t>Point (iv): Interest</w:t>
      </w:r>
    </w:p>
    <w:p>
      <w:pPr>
        <w:numPr>
          <w:ilvl w:val="0"/>
          <w:numId w:val="80"/>
        </w:numPr>
      </w:pPr>
      <w:r>
        <w:rPr/>
        <w:t xml:space="preserve">Under Section 31(7)(a) of the Act, and unless the parties have agreed otherwise, the Tribunal may include in the sum awarded interest at such rate as it considers reasonable, on the whole or any part of the money, for the whole or any part of the period between the date on which the cause of action arose and the date of the award. The contractual rate is </w:t>
      </w:r>
      <w:r>
        <w:rPr/>
        <w:t>{{contract_interest_rate}}</w:t>
      </w:r>
      <w:r>
        <w:rPr/>
        <w:t xml:space="preserve">% per annum, and interest up to </w:t>
      </w:r>
      <w:r>
        <w:rPr/>
        <w:t>{{claim_as_on_date}}</w:t>
      </w:r>
      <w:r>
        <w:rPr/>
        <w:t xml:space="preserve"> is already included in the amount determined above. Having regard to the nature of the facility, prevailing lending rates and the conduct of the parties, the Tribunal considers simple interest at </w:t>
      </w:r>
      <w:r>
        <w:rPr/>
        <w:t>{{pendente_lite_rate}}</w:t>
      </w:r>
      <w:r>
        <w:rPr/>
        <w:t xml:space="preserve">% per annum reasonable on the principal component of Rs. </w:t>
      </w:r>
      <w:r>
        <w:rPr/>
        <w:t>{{interest_base_amount}}</w:t>
      </w:r>
      <w:r>
        <w:rPr/>
        <w:t xml:space="preserve">/-, from </w:t>
      </w:r>
      <w:r>
        <w:rPr/>
        <w:t>{{pendente_lite_from_date}}</w:t>
      </w:r>
      <w:r>
        <w:rPr/>
        <w:t xml:space="preserve"> until the date of this Award.</w:t>
      </w:r>
    </w:p>
    <w:p>
      <w:pPr>
        <w:numPr>
          <w:ilvl w:val="0"/>
          <w:numId w:val="80"/>
        </w:numPr>
      </w:pPr>
      <w:r>
        <w:rPr/>
        <w:t xml:space="preserve">Under Section 31(7)(b) of the Act, the sum directed to be paid by this Award, which includes the interest under Section 31(7)(a), shall carry interest from the date of this Award until the date of payment. The Tribunal fixes that rate at </w:t>
      </w:r>
      <w:r>
        <w:rPr/>
        <w:t>{{post_award_rate}}</w:t>
      </w:r>
      <w:r>
        <w:rPr/>
        <w:t xml:space="preserve">% per annum, in place of the default rate the provision prescribes. </w:t>
      </w:r>
      <w:r>
        <w:rPr/>
        <w:t>{{interest_reasons_note}}</w:t>
      </w:r>
    </w:p>
    <w:p>
      <w:pPr>
        <w:keepNext/>
        <w:spacing w:before="120" w:after="80"/>
        <w:jc w:val="left"/>
      </w:pPr>
      <w:r>
        <w:rPr>
          <w:b/>
          <w:i/>
        </w:rPr>
        <w:t>Point (v): Costs</w:t>
      </w:r>
    </w:p>
    <w:p>
      <w:pPr>
        <w:numPr>
          <w:ilvl w:val="0"/>
          <w:numId w:val="80"/>
        </w:numPr>
      </w:pPr>
      <w:r>
        <w:rPr/>
        <w:t xml:space="preserve">Under Section 31A of the Act, the general rule is that the unsuccessful party pays the costs of the successful party. The Tribunal has considered the parties’ conduct, including the Respondent’s failure to respond to the Invocation Notice. It sees no reason to depart from the rule and quantifies the costs as follows: the Tribunal’s fees, Rs. </w:t>
      </w:r>
      <w:r>
        <w:rPr/>
        <w:t>{{cost_arbitrator_fee}}</w:t>
      </w:r>
      <w:r>
        <w:rPr/>
        <w:t xml:space="preserve">/-; administrative and online hearing charges, Rs. </w:t>
      </w:r>
      <w:r>
        <w:rPr/>
        <w:t>{{cost_admin}}</w:t>
      </w:r>
      <w:r>
        <w:rPr/>
        <w:t xml:space="preserve">/-; and notice, postage and service expenses, Rs. </w:t>
      </w:r>
      <w:r>
        <w:rPr/>
        <w:t>{{cost_other}}</w:t>
      </w:r>
      <w:r>
        <w:rPr/>
        <w:t xml:space="preserve">/-. The total is Rs. </w:t>
      </w:r>
      <w:r>
        <w:rPr/>
        <w:t>{{costs_amount}}</w:t>
      </w:r>
      <w:r>
        <w:rPr/>
        <w:t>/-.</w:t>
      </w:r>
    </w:p>
    <w:p>
      <w:pPr>
        <w:keepNext/>
        <w:spacing w:before="280" w:after="120"/>
        <w:jc w:val="left"/>
      </w:pPr>
      <w:r>
        <w:rPr>
          <w:b/>
          <w:smallCaps/>
          <w:sz w:val="24"/>
        </w:rPr>
        <w:t>J. Award</w:t>
      </w:r>
    </w:p>
    <w:p>
      <w:pPr>
        <w:keepNext/>
        <w:numPr>
          <w:ilvl w:val="0"/>
          <w:numId w:val="80"/>
        </w:numPr>
      </w:pPr>
      <w:r>
        <w:rPr/>
        <w:t>For the reasons recorded above, the Tribunal makes the following Award:</w:t>
      </w:r>
    </w:p>
    <w:p>
      <w:pPr>
        <w:numPr>
          <w:ilvl w:val="0"/>
          <w:numId w:val="82"/>
        </w:numPr>
      </w:pPr>
      <w:r>
        <w:rPr/>
        <w:t xml:space="preserve">The Respondent shall pay the Claimant </w:t>
      </w:r>
      <w:r>
        <w:rPr>
          <w:b/>
        </w:rPr>
        <w:t xml:space="preserve">Rs. </w:t>
      </w:r>
      <w:r>
        <w:rPr>
          <w:b/>
        </w:rPr>
        <w:t>{{award_amount}}</w:t>
      </w:r>
      <w:r>
        <w:rPr>
          <w:b/>
        </w:rPr>
        <w:t xml:space="preserve">/- (Rupees </w:t>
      </w:r>
      <w:r>
        <w:rPr>
          <w:b/>
        </w:rPr>
        <w:t>{{award_amount_words}}</w:t>
      </w:r>
      <w:r>
        <w:rPr>
          <w:b/>
        </w:rPr>
        <w:t xml:space="preserve"> Only)</w:t>
      </w:r>
      <w:r>
        <w:rPr/>
        <w:t xml:space="preserve">, being the amount due under </w:t>
      </w:r>
      <w:r>
        <w:rPr/>
        <w:t>{{facility_type_label}}</w:t>
      </w:r>
      <w:r>
        <w:rPr/>
        <w:t xml:space="preserve"> Account No. </w:t>
      </w:r>
      <w:r>
        <w:rPr/>
        <w:t>{{account_no}}</w:t>
      </w:r>
      <w:r>
        <w:rPr/>
        <w:t xml:space="preserve"> as on </w:t>
      </w:r>
      <w:r>
        <w:rPr/>
        <w:t>{{claim_as_on_date}}</w:t>
      </w:r>
      <w:r>
        <w:rPr/>
        <w:t>.</w:t>
      </w:r>
    </w:p>
    <w:p>
      <w:pPr>
        <w:numPr>
          <w:ilvl w:val="0"/>
          <w:numId w:val="82"/>
        </w:numPr>
      </w:pPr>
      <w:r>
        <w:rPr/>
        <w:t xml:space="preserve">The Respondent shall pay simple interest at </w:t>
      </w:r>
      <w:r>
        <w:rPr>
          <w:b/>
        </w:rPr>
        <w:t>{{pendente_lite_rate}}</w:t>
      </w:r>
      <w:r>
        <w:rPr>
          <w:b/>
        </w:rPr>
        <w:t>% per annum</w:t>
      </w:r>
      <w:r>
        <w:rPr/>
        <w:t xml:space="preserve"> on Rs. </w:t>
      </w:r>
      <w:r>
        <w:rPr/>
        <w:t>{{interest_base_amount}}</w:t>
      </w:r>
      <w:r>
        <w:rPr/>
        <w:t xml:space="preserve">/- from </w:t>
      </w:r>
      <w:r>
        <w:rPr/>
        <w:t>{{pendente_lite_from_date}}</w:t>
      </w:r>
      <w:r>
        <w:rPr/>
        <w:t xml:space="preserve"> until </w:t>
      </w:r>
      <w:r>
        <w:rPr/>
        <w:t>{{award_date}}</w:t>
      </w:r>
      <w:r>
        <w:rPr/>
        <w:t xml:space="preserve">, quantified at </w:t>
      </w:r>
      <w:r>
        <w:rPr>
          <w:b/>
        </w:rPr>
        <w:t xml:space="preserve">Rs. </w:t>
      </w:r>
      <w:r>
        <w:rPr>
          <w:b/>
        </w:rPr>
        <w:t>{{pendente_lite_interest_amount}}</w:t>
      </w:r>
      <w:r>
        <w:rPr>
          <w:b/>
        </w:rPr>
        <w:t xml:space="preserve">/- (Rupees </w:t>
      </w:r>
      <w:r>
        <w:rPr>
          <w:b/>
        </w:rPr>
        <w:t>{{pendente_lite_interest_words}}</w:t>
      </w:r>
      <w:r>
        <w:rPr>
          <w:b/>
        </w:rPr>
        <w:t xml:space="preserve"> Only)</w:t>
      </w:r>
      <w:r>
        <w:rPr/>
        <w:t>, under Section 31(7)(a) of the Act.</w:t>
      </w:r>
    </w:p>
    <w:p>
      <w:pPr>
        <w:numPr>
          <w:ilvl w:val="0"/>
          <w:numId w:val="82"/>
        </w:numPr>
      </w:pPr>
      <w:r>
        <w:rPr/>
        <w:t xml:space="preserve">The Respondent shall pay the Claimant costs of </w:t>
      </w:r>
      <w:r>
        <w:rPr>
          <w:b/>
        </w:rPr>
        <w:t xml:space="preserve">Rs. </w:t>
      </w:r>
      <w:r>
        <w:rPr>
          <w:b/>
        </w:rPr>
        <w:t>{{costs_amount}}</w:t>
      </w:r>
      <w:r>
        <w:rPr>
          <w:b/>
        </w:rPr>
        <w:t xml:space="preserve">/- (Rupees </w:t>
      </w:r>
      <w:r>
        <w:rPr>
          <w:b/>
        </w:rPr>
        <w:t>{{costs_amount_words}}</w:t>
      </w:r>
      <w:r>
        <w:rPr>
          <w:b/>
        </w:rPr>
        <w:t xml:space="preserve"> Only)</w:t>
      </w:r>
      <w:r>
        <w:rPr/>
        <w:t xml:space="preserve"> under Section 31A of the Act.</w:t>
      </w:r>
    </w:p>
    <w:p>
      <w:pPr>
        <w:numPr>
          <w:ilvl w:val="0"/>
          <w:numId w:val="82"/>
        </w:numPr>
      </w:pPr>
      <w:r>
        <w:rPr/>
        <w:t xml:space="preserve">The aggregate of items I to III, namely </w:t>
      </w:r>
      <w:r>
        <w:rPr>
          <w:b/>
        </w:rPr>
        <w:t xml:space="preserve">Rs. </w:t>
      </w:r>
      <w:r>
        <w:rPr>
          <w:b/>
        </w:rPr>
        <w:t>{{award_total}}</w:t>
      </w:r>
      <w:r>
        <w:rPr>
          <w:b/>
        </w:rPr>
        <w:t xml:space="preserve">/- (Rupees </w:t>
      </w:r>
      <w:r>
        <w:rPr>
          <w:b/>
        </w:rPr>
        <w:t>{{award_total_words}}</w:t>
      </w:r>
      <w:r>
        <w:rPr>
          <w:b/>
        </w:rPr>
        <w:t xml:space="preserve"> Only)</w:t>
      </w:r>
      <w:r>
        <w:rPr/>
        <w:t xml:space="preserve">, shall be paid within </w:t>
      </w:r>
      <w:r>
        <w:rPr/>
        <w:t>{{payment_days}}</w:t>
      </w:r>
      <w:r>
        <w:rPr/>
        <w:t xml:space="preserve"> days of receipt of this Award. It shall carry simple interest at </w:t>
      </w:r>
      <w:r>
        <w:rPr>
          <w:b/>
        </w:rPr>
        <w:t>{{post_award_rate}}</w:t>
      </w:r>
      <w:r>
        <w:rPr>
          <w:b/>
        </w:rPr>
        <w:t>% per annum</w:t>
      </w:r>
      <w:r>
        <w:rPr/>
        <w:t xml:space="preserve"> from </w:t>
      </w:r>
      <w:r>
        <w:rPr/>
        <w:t>{{award_date}}</w:t>
      </w:r>
      <w:r>
        <w:rPr/>
        <w:t xml:space="preserve"> until the date of payment, under Section 31(7)(b) of the Act.</w:t>
      </w:r>
    </w:p>
    <w:p>
      <w:pPr>
        <w:pStyle w:val="TemplateDirective"/>
      </w:pPr>
      <w:r>
        <w:t>[[IF has_co_respondents]]</w:t>
      </w:r>
    </w:p>
    <w:p>
      <w:pPr>
        <w:numPr>
          <w:ilvl w:val="0"/>
          <w:numId w:val="82"/>
        </w:numPr>
      </w:pPr>
      <w:r>
        <w:rPr/>
        <w:t xml:space="preserve">The liability of Respondent No. 1 and of each co-respondent under this Award is joint and several. </w:t>
      </w:r>
      <w:r>
        <w:rPr/>
        <w:t>{{co_respondent_liability_note}}</w:t>
      </w:r>
    </w:p>
    <w:p>
      <w:pPr>
        <w:pStyle w:val="TemplateDirective"/>
      </w:pPr>
      <w:r>
        <w:t>[[END]]</w:t>
      </w:r>
    </w:p>
    <w:p>
      <w:pPr>
        <w:numPr>
          <w:ilvl w:val="0"/>
          <w:numId w:val="82"/>
        </w:numPr>
      </w:pPr>
      <w:r>
        <w:rPr/>
        <w:t xml:space="preserve">The Claimant shall give credit for every amount the Respondent pays after </w:t>
      </w:r>
      <w:r>
        <w:rPr/>
        <w:t>{{claim_as_on_date}}</w:t>
      </w:r>
      <w:r>
        <w:rPr/>
        <w:t>, appropriated in the manner the Agreement provides.</w:t>
      </w:r>
    </w:p>
    <w:p>
      <w:pPr>
        <w:numPr>
          <w:ilvl w:val="0"/>
          <w:numId w:val="82"/>
        </w:numPr>
      </w:pPr>
      <w:r>
        <w:rPr/>
        <w:t>Any claim or contention not expressly allowed in this Award stands rejected.</w:t>
      </w:r>
    </w:p>
    <w:p>
      <w:pPr>
        <w:spacing w:after="40"/>
      </w:pPr>
    </w:p>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6350"/>
        <w:gridCol w:w="2551"/>
      </w:tblGrid>
      <w:tr>
        <w:trPr>
          <w:cantSplit w:val="true"/>
        </w:trPr>
        <w:tc>
          <w:tcPr>
            <w:tcW w:type="dxa" w:w="6350"/>
            <w:vAlign w:val="top"/>
            <w:shd w:val="clear" w:color="auto" w:fill="E7E3DA"/>
          </w:tcPr>
          <w:p>
            <w:pPr>
              <w:keepNext/>
              <w:spacing w:after="40" w:before="20" w:line="252" w:lineRule="auto"/>
              <w:jc w:val="left"/>
            </w:pPr>
            <w:r>
              <w:rPr>
                <w:b/>
                <w:sz w:val="20"/>
              </w:rPr>
              <w:t>Summary of sums awarded</w:t>
            </w:r>
          </w:p>
        </w:tc>
        <w:tc>
          <w:tcPr>
            <w:tcW w:type="dxa" w:w="2551"/>
            <w:vAlign w:val="top"/>
            <w:shd w:val="clear" w:color="auto" w:fill="E7E3DA"/>
          </w:tcPr>
          <w:p>
            <w:pPr>
              <w:keepNext/>
              <w:spacing w:after="40" w:before="20" w:line="252" w:lineRule="auto"/>
              <w:jc w:val="right"/>
            </w:pPr>
            <w:r>
              <w:rPr>
                <w:b/>
                <w:sz w:val="20"/>
              </w:rPr>
              <w:t>Rs.</w:t>
            </w:r>
          </w:p>
        </w:tc>
      </w:tr>
      <w:tr>
        <w:trPr>
          <w:cantSplit w:val="true"/>
        </w:trPr>
        <w:tc>
          <w:tcPr>
            <w:tcW w:type="dxa" w:w="6350"/>
            <w:vAlign w:val="top"/>
          </w:tcPr>
          <w:p>
            <w:pPr>
              <w:keepNext/>
              <w:spacing w:after="40" w:before="20" w:line="252" w:lineRule="auto"/>
              <w:jc w:val="left"/>
            </w:pPr>
            <w:r>
              <w:rPr>
                <w:sz w:val="20"/>
              </w:rPr>
              <w:t xml:space="preserve">I.  Amount due as on </w:t>
            </w:r>
            <w:r>
              <w:rPr>
                <w:sz w:val="20"/>
              </w:rPr>
              <w:t>{{claim_as_on_date}}</w:t>
            </w:r>
          </w:p>
        </w:tc>
        <w:tc>
          <w:tcPr>
            <w:tcW w:type="dxa" w:w="2551"/>
            <w:vAlign w:val="top"/>
          </w:tcPr>
          <w:p>
            <w:pPr>
              <w:keepNext/>
              <w:spacing w:after="40" w:before="20" w:line="252" w:lineRule="auto"/>
              <w:jc w:val="right"/>
            </w:pPr>
            <w:r>
              <w:rPr>
                <w:sz w:val="20"/>
              </w:rPr>
              <w:t>{{award_amount}}</w:t>
            </w:r>
          </w:p>
        </w:tc>
      </w:tr>
      <w:tr>
        <w:trPr>
          <w:cantSplit w:val="true"/>
        </w:trPr>
        <w:tc>
          <w:tcPr>
            <w:tcW w:type="dxa" w:w="6350"/>
            <w:vAlign w:val="top"/>
          </w:tcPr>
          <w:p>
            <w:pPr>
              <w:keepNext/>
              <w:spacing w:after="40" w:before="20" w:line="252" w:lineRule="auto"/>
              <w:jc w:val="left"/>
            </w:pPr>
            <w:r>
              <w:rPr>
                <w:sz w:val="20"/>
              </w:rPr>
              <w:t xml:space="preserve">II.  Interest under Section 31(7)(a) up to </w:t>
            </w:r>
            <w:r>
              <w:rPr>
                <w:sz w:val="20"/>
              </w:rPr>
              <w:t>{{award_date}}</w:t>
            </w:r>
          </w:p>
        </w:tc>
        <w:tc>
          <w:tcPr>
            <w:tcW w:type="dxa" w:w="2551"/>
            <w:vAlign w:val="top"/>
          </w:tcPr>
          <w:p>
            <w:pPr>
              <w:keepNext/>
              <w:spacing w:after="40" w:before="20" w:line="252" w:lineRule="auto"/>
              <w:jc w:val="right"/>
            </w:pPr>
            <w:r>
              <w:rPr>
                <w:sz w:val="20"/>
              </w:rPr>
              <w:t>{{pendente_lite_interest_amount}}</w:t>
            </w:r>
          </w:p>
        </w:tc>
      </w:tr>
      <w:tr>
        <w:trPr>
          <w:cantSplit w:val="true"/>
        </w:trPr>
        <w:tc>
          <w:tcPr>
            <w:tcW w:type="dxa" w:w="6350"/>
            <w:vAlign w:val="top"/>
          </w:tcPr>
          <w:p>
            <w:pPr>
              <w:keepNext/>
              <w:spacing w:after="40" w:before="20" w:line="252" w:lineRule="auto"/>
              <w:jc w:val="left"/>
            </w:pPr>
            <w:r>
              <w:rPr>
                <w:sz w:val="20"/>
              </w:rPr>
              <w:t>III.  Costs under Section 31A</w:t>
            </w:r>
          </w:p>
        </w:tc>
        <w:tc>
          <w:tcPr>
            <w:tcW w:type="dxa" w:w="2551"/>
            <w:vAlign w:val="top"/>
          </w:tcPr>
          <w:p>
            <w:pPr>
              <w:keepNext/>
              <w:spacing w:after="40" w:before="20" w:line="252" w:lineRule="auto"/>
              <w:jc w:val="right"/>
            </w:pPr>
            <w:r>
              <w:rPr>
                <w:sz w:val="20"/>
              </w:rPr>
              <w:t>{{costs_amount}}</w:t>
            </w:r>
          </w:p>
        </w:tc>
      </w:tr>
      <w:tr>
        <w:trPr>
          <w:cantSplit w:val="true"/>
        </w:trPr>
        <w:tc>
          <w:tcPr>
            <w:tcW w:type="dxa" w:w="6350"/>
            <w:vAlign w:val="top"/>
            <w:shd w:val="clear" w:color="auto" w:fill="F4F2EC"/>
          </w:tcPr>
          <w:p>
            <w:pPr>
              <w:keepNext w:val="0"/>
              <w:spacing w:after="40" w:before="20" w:line="252" w:lineRule="auto"/>
              <w:jc w:val="left"/>
            </w:pPr>
            <w:r>
              <w:rPr>
                <w:b/>
                <w:sz w:val="20"/>
              </w:rPr>
              <w:t xml:space="preserve">Total payable as on </w:t>
            </w:r>
            <w:r>
              <w:rPr>
                <w:b/>
                <w:sz w:val="20"/>
              </w:rPr>
              <w:t>{{award_date}}</w:t>
            </w:r>
            <w:r>
              <w:rPr>
                <w:b/>
                <w:sz w:val="20"/>
              </w:rPr>
              <w:t xml:space="preserve"> (with further interest at </w:t>
            </w:r>
            <w:r>
              <w:rPr>
                <w:b/>
                <w:sz w:val="20"/>
              </w:rPr>
              <w:t>{{post_award_rate}}</w:t>
            </w:r>
            <w:r>
              <w:rPr>
                <w:b/>
                <w:sz w:val="20"/>
              </w:rPr>
              <w:t>% p.a. until payment)</w:t>
            </w:r>
          </w:p>
        </w:tc>
        <w:tc>
          <w:tcPr>
            <w:tcW w:type="dxa" w:w="2551"/>
            <w:vAlign w:val="top"/>
            <w:shd w:val="clear" w:color="auto" w:fill="F4F2EC"/>
          </w:tcPr>
          <w:p>
            <w:pPr>
              <w:keepNext w:val="0"/>
              <w:spacing w:after="40" w:before="20" w:line="252" w:lineRule="auto"/>
              <w:jc w:val="right"/>
            </w:pPr>
            <w:r>
              <w:rPr>
                <w:b/>
                <w:sz w:val="20"/>
              </w:rPr>
              <w:t>{{award_total}}</w:t>
            </w:r>
          </w:p>
        </w:tc>
      </w:tr>
    </w:tbl>
    <w:p>
      <w:pPr>
        <w:spacing w:after="80"/>
      </w:pPr>
    </w:p>
    <w:p>
      <w:pPr>
        <w:keepNext/>
        <w:spacing w:before="280" w:after="120"/>
        <w:jc w:val="left"/>
      </w:pPr>
      <w:r>
        <w:rPr>
          <w:b/>
          <w:smallCaps/>
          <w:sz w:val="24"/>
        </w:rPr>
        <w:t>K. Formal Matters</w:t>
      </w:r>
    </w:p>
    <w:p>
      <w:pPr>
        <w:numPr>
          <w:ilvl w:val="0"/>
          <w:numId w:val="80"/>
        </w:numPr>
      </w:pPr>
      <w:r>
        <w:rPr/>
        <w:t>This Award is made in writing and signed by the Sole Arbitrator under Section 31(1) of the Act. It states the reasons on which it is based (Section 31(3)) and its date and place of arbitration (Section 31(4)). A signed copy shall be delivered to each party under Section 31(5), and the mode and date of delivery shall be recorded in the endorsement below. Subject to Section 33, the arbitral proceedings stand terminated under Section 32(1).</w:t>
      </w:r>
    </w:p>
    <w:p>
      <w:pPr>
        <w:numPr>
          <w:ilvl w:val="0"/>
          <w:numId w:val="80"/>
        </w:numPr>
      </w:pPr>
      <w:r>
        <w:rPr/>
        <w:t>A party may, within thirty days of receiving this Award, apply under Section 33 of the Act for the correction of any computational, clerical or typographical error, or for an interpretation of a specific point.</w:t>
      </w:r>
    </w:p>
    <w:p>
      <w:pPr>
        <w:numPr>
          <w:ilvl w:val="0"/>
          <w:numId w:val="80"/>
        </w:numPr>
      </w:pPr>
      <w:r>
        <w:rPr/>
        <w:t>Under Section 35 of the Act, this Award is final and binding on the parties and on persons claiming under them. Under Section 36, once the time for applying to set it aside under Section 34 has expired, or once any such application has been refused, the Award shall be enforced under the Code of Civil Procedure, 1908 in the same manner as if it were a decree of the court. Under Section 36(2), the filing of an application under Section 34 does not, by itself, render the Award unenforceable unless the court grants a stay on a separate application.</w:t>
      </w:r>
    </w:p>
    <w:p>
      <w:pPr>
        <w:numPr>
          <w:ilvl w:val="0"/>
          <w:numId w:val="80"/>
        </w:numPr>
      </w:pPr>
      <w:r>
        <w:rPr/>
        <w:t xml:space="preserve">The Claimant shall pay the stamp duty payable on this Award under </w:t>
      </w:r>
      <w:r>
        <w:rPr/>
        <w:t>{{stamp_act_name}}</w:t>
      </w:r>
      <w:r>
        <w:rPr/>
        <w:t xml:space="preserve">. Particulars: </w:t>
      </w:r>
      <w:r>
        <w:rPr/>
        <w:t>{{award_stamp_details}}</w:t>
      </w:r>
      <w:r>
        <w:rPr/>
        <w:t>.</w:t>
      </w:r>
    </w:p>
    <w:p>
      <w:pPr>
        <w:spacing w:after="80"/>
      </w:pPr>
    </w:p>
    <w:p>
      <w:pPr>
        <w:keepNext/>
        <w:spacing w:after="280"/>
      </w:pPr>
      <w:r>
        <w:rPr/>
        <w:t xml:space="preserve">Made and signed at </w:t>
      </w:r>
      <w:r>
        <w:rPr/>
        <w:t>{{seat_city}}</w:t>
      </w:r>
      <w:r>
        <w:rPr/>
        <w:t xml:space="preserve">, the seat of arbitration, on this </w:t>
      </w:r>
      <w:r>
        <w:rPr/>
        <w:t>{{award_day_ordinal}}</w:t>
      </w:r>
      <w:r>
        <w:rPr/>
        <w:t xml:space="preserve"> day of </w:t>
      </w:r>
      <w:r>
        <w:rPr/>
        <w:t>{{award_month}}</w:t>
      </w:r>
      <w:r>
        <w:rPr/>
        <w:t xml:space="preserve">, </w:t>
      </w:r>
      <w:r>
        <w:rPr/>
        <w:t>{{award_year}}</w:t>
      </w:r>
      <w:r>
        <w:rPr/>
        <w:t>.</w:t>
      </w:r>
    </w:p>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CellMar>
          <w:top w:w="45" w:type="dxa"/>
          <w:bottom w:w="45" w:type="dxa"/>
          <w:left w:w="85" w:type="dxa"/>
          <w:right w:w="85" w:type="dxa"/>
        </w:tblCellMar>
      </w:tblPr>
      <w:tblGrid>
        <w:gridCol w:w="4082"/>
        <w:gridCol w:w="4819"/>
      </w:tblGrid>
      <w:tr>
        <w:trPr>
          <w:cantSplit w:val="true"/>
        </w:trPr>
        <w:tc>
          <w:tcPr>
            <w:tcW w:type="dxa" w:w="4082"/>
            <w:vAlign w:val="top"/>
          </w:tcPr>
          <w:p>
            <w:pPr>
              <w:keepNext/>
              <w:spacing w:after="40" w:before="20" w:line="252" w:lineRule="auto"/>
              <w:jc w:val="left"/>
            </w:pPr>
            <w:r>
              <w:rPr>
                <w:sz w:val="22"/>
              </w:rPr>
              <w:t xml:space="preserve">Seat of arbitration: </w:t>
            </w:r>
            <w:r>
              <w:rPr>
                <w:sz w:val="22"/>
              </w:rPr>
              <w:t>{{seat_city}}</w:t>
            </w:r>
          </w:p>
          <w:p>
            <w:pPr>
              <w:keepNext/>
              <w:spacing w:after="40" w:before="20" w:line="252" w:lineRule="auto"/>
              <w:jc w:val="left"/>
            </w:pPr>
            <w:r>
              <w:rPr>
                <w:sz w:val="22"/>
              </w:rPr>
              <w:t xml:space="preserve">Date of Award: </w:t>
            </w:r>
            <w:r>
              <w:rPr>
                <w:sz w:val="22"/>
              </w:rPr>
              <w:t>{{award_date}}</w:t>
            </w:r>
          </w:p>
          <w:p>
            <w:pPr>
              <w:keepNext/>
              <w:spacing w:after="40" w:before="20" w:line="252" w:lineRule="auto"/>
              <w:jc w:val="left"/>
            </w:pPr>
            <w:r>
              <w:rPr>
                <w:sz w:val="22"/>
              </w:rPr>
              <w:t xml:space="preserve">Place of signing: </w:t>
            </w:r>
            <w:r>
              <w:rPr>
                <w:sz w:val="22"/>
              </w:rPr>
              <w:t>{{award_signing_place}}</w:t>
            </w:r>
          </w:p>
        </w:tc>
        <w:tc>
          <w:tcPr>
            <w:tcW w:type="dxa" w:w="4819"/>
            <w:vAlign w:val="top"/>
          </w:tcPr>
          <w:p>
            <w:pPr>
              <w:keepNext/>
              <w:spacing w:after="40" w:before="20" w:line="252" w:lineRule="auto"/>
              <w:jc w:val="center"/>
            </w:pPr>
          </w:p>
          <w:p>
            <w:pPr>
              <w:keepNext/>
              <w:spacing w:after="40" w:before="20" w:line="252" w:lineRule="auto"/>
              <w:jc w:val="center"/>
            </w:pPr>
          </w:p>
          <w:p>
            <w:r>
              <w:t>[[REPEAT tribunal]]</w:t>
            </w:r>
          </w:p>
          <w:p>
            <w:pPr>
              <w:keepNext/>
              <w:spacing w:after="40" w:before="20" w:line="252" w:lineRule="auto"/>
              <w:jc w:val="center"/>
            </w:pPr>
            <w:r>
              <w:rPr>
                <w:sz w:val="22"/>
              </w:rPr>
              <w:t>______________________________</w:t>
            </w:r>
          </w:p>
          <w:p>
            <w:pPr>
              <w:keepNext/>
              <w:spacing w:after="40" w:before="20" w:line="252" w:lineRule="auto"/>
              <w:jc w:val="center"/>
            </w:pPr>
            <w:r>
              <w:rPr>
                <w:b/>
                <w:sz w:val="22"/>
              </w:rPr>
              <w:t>{{arbitrator_name}}</w:t>
            </w:r>
          </w:p>
          <w:p>
            <w:pPr>
              <w:keepNext/>
              <w:spacing w:after="40" w:before="20" w:line="252" w:lineRule="auto"/>
              <w:jc w:val="center"/>
            </w:pPr>
            <w:r>
              <w:rPr>
                <w:smallCaps/>
                <w:sz w:val="22"/>
              </w:rPr>
              <w:t>{{tribunal_role}}</w:t>
            </w:r>
          </w:p>
          <w:p>
            <w:pPr>
              <w:keepNext/>
              <w:spacing w:after="40" w:before="20" w:line="252" w:lineRule="auto"/>
              <w:jc w:val="center"/>
            </w:pPr>
            <w:r>
              <w:rPr>
                <w:sz w:val="22"/>
              </w:rPr>
              <w:t>{{arbitrator_qualification}}</w:t>
            </w:r>
          </w:p>
          <w:p>
            <w:pPr>
              <w:keepNext/>
              <w:spacing w:after="40" w:before="20" w:line="252" w:lineRule="auto"/>
              <w:jc w:val="center"/>
            </w:pPr>
            <w:r>
              <w:rPr>
                <w:sz w:val="22"/>
              </w:rPr>
              <w:t>{{arbitrator_enrolment_no}}</w:t>
            </w:r>
          </w:p>
          <w:p>
            <w:pPr>
              <w:keepNext/>
              <w:spacing w:after="40" w:before="20" w:line="252" w:lineRule="auto"/>
              <w:jc w:val="center"/>
            </w:pPr>
            <w:r>
              <w:rPr>
                <w:i/>
                <w:sz w:val="22"/>
              </w:rPr>
              <w:t>{{arbitrator_signature_mode}}</w:t>
            </w:r>
          </w:p>
          <w:p>
            <w:r>
              <w:t>[[END_REPEAT]]</w:t>
            </w:r>
          </w:p>
        </w:tc>
      </w:tr>
    </w:tbl>
    <w:p>
      <w:pPr>
        <w:spacing w:after="120"/>
      </w:pPr>
    </w:p>
    <w:p>
      <w:pPr>
        <w:keepNext/>
        <w:spacing w:before="200" w:after="80"/>
        <w:jc w:val="left"/>
      </w:pPr>
      <w:r>
        <w:rPr>
          <w:b/>
          <w:smallCaps/>
        </w:rPr>
        <w:t>Endorsement of delivery under Section 31(5)</w:t>
      </w:r>
    </w:p>
    <w:tbl>
      <w:tblPr>
        <w:tblW w:type="auto" w:w="0"/>
        <w:jc w:val="center"/>
        <w:tblLayout w:type="fixed"/>
        <w:tblLook w:firstColumn="1" w:firstRow="1" w:lastColumn="0" w:lastRow="0" w:noHBand="0" w:noVBand="1" w:val="04A0"/>
        <w:tblLayout w:type="fixed"/>
        <w:tblBorders>
          <w:top w:val="single" w:sz="4" w:color="8C8C8C"/>
          <w:left w:val="single" w:sz="4" w:color="8C8C8C"/>
          <w:bottom w:val="single" w:sz="4" w:color="8C8C8C"/>
          <w:right w:val="single" w:sz="4" w:color="8C8C8C"/>
          <w:insideH w:val="single" w:sz="4" w:color="8C8C8C"/>
          <w:insideV w:val="single" w:sz="4" w:color="8C8C8C"/>
        </w:tblBorders>
        <w:tblCellMar>
          <w:top w:w="45" w:type="dxa"/>
          <w:bottom w:w="45" w:type="dxa"/>
          <w:left w:w="85" w:type="dxa"/>
          <w:right w:w="85" w:type="dxa"/>
        </w:tblCellMar>
      </w:tblPr>
      <w:tblGrid>
        <w:gridCol w:w="2381"/>
        <w:gridCol w:w="1871"/>
        <w:gridCol w:w="1474"/>
        <w:gridCol w:w="3175"/>
      </w:tblGrid>
      <w:tr>
        <w:trPr>
          <w:tblHeader w:val="true"/>
          <w:cantSplit w:val="true"/>
        </w:trPr>
        <w:tc>
          <w:tcPr>
            <w:tcW w:type="dxa" w:w="2381"/>
            <w:vAlign w:val="top"/>
            <w:shd w:val="clear" w:color="auto" w:fill="E7E3DA"/>
          </w:tcPr>
          <w:p>
            <w:pPr>
              <w:keepNext/>
              <w:spacing w:after="40" w:before="20" w:line="252" w:lineRule="auto"/>
              <w:jc w:val="left"/>
            </w:pPr>
            <w:r>
              <w:rPr>
                <w:b/>
                <w:sz w:val="18"/>
              </w:rPr>
              <w:t>Party</w:t>
            </w:r>
          </w:p>
        </w:tc>
        <w:tc>
          <w:tcPr>
            <w:tcW w:type="dxa" w:w="1871"/>
            <w:vAlign w:val="top"/>
            <w:shd w:val="clear" w:color="auto" w:fill="E7E3DA"/>
          </w:tcPr>
          <w:p>
            <w:pPr>
              <w:keepNext/>
              <w:spacing w:after="40" w:before="20" w:line="252" w:lineRule="auto"/>
              <w:jc w:val="left"/>
            </w:pPr>
            <w:r>
              <w:rPr>
                <w:b/>
                <w:sz w:val="18"/>
              </w:rPr>
              <w:t>Mode of delivery</w:t>
            </w:r>
          </w:p>
        </w:tc>
        <w:tc>
          <w:tcPr>
            <w:tcW w:type="dxa" w:w="1474"/>
            <w:vAlign w:val="top"/>
            <w:shd w:val="clear" w:color="auto" w:fill="E7E3DA"/>
          </w:tcPr>
          <w:p>
            <w:pPr>
              <w:keepNext/>
              <w:spacing w:after="40" w:before="20" w:line="252" w:lineRule="auto"/>
              <w:jc w:val="left"/>
            </w:pPr>
            <w:r>
              <w:rPr>
                <w:b/>
                <w:sz w:val="18"/>
              </w:rPr>
              <w:t>Date</w:t>
            </w:r>
          </w:p>
        </w:tc>
        <w:tc>
          <w:tcPr>
            <w:tcW w:type="dxa" w:w="3175"/>
            <w:vAlign w:val="top"/>
            <w:shd w:val="clear" w:color="auto" w:fill="E7E3DA"/>
          </w:tcPr>
          <w:p>
            <w:pPr>
              <w:keepNext/>
              <w:spacing w:after="40" w:before="20" w:line="252" w:lineRule="auto"/>
              <w:jc w:val="left"/>
            </w:pPr>
            <w:r>
              <w:rPr>
                <w:b/>
                <w:sz w:val="18"/>
              </w:rPr>
              <w:t>Proof / tracking reference</w:t>
            </w:r>
          </w:p>
        </w:tc>
      </w:tr>
      <w:tr>
        <w:trPr>
          <w:cantSplit w:val="true"/>
        </w:trPr>
        <w:tc>
          <w:tcPr>
            <w:tcW w:type="dxa" w:w="8901"/>
            <w:gridSpan w:val="4"/>
            <w:shd w:val="clear" w:color="auto" w:fill="EEF3F7"/>
          </w:tcPr>
          <w:p>
            <w:pPr>
              <w:pStyle w:val="TemplateDirective"/>
              <w:spacing w:before="0" w:after="0"/>
            </w:pPr>
            <w:r>
              <w:t>[[ROW award_delivery]]</w:t>
            </w:r>
            <w:r>
              <w:rPr>
                <w:b w:val="0"/>
                <w:i/>
              </w:rPr>
              <w:t xml:space="preserve">  repeat the next row once per entry; delete this row</w:t>
            </w:r>
          </w:p>
        </w:tc>
      </w:tr>
      <w:tr>
        <w:trPr>
          <w:cantSplit w:val="true"/>
        </w:trPr>
        <w:tc>
          <w:tcPr>
            <w:tcW w:type="dxa" w:w="2381"/>
            <w:vAlign w:val="top"/>
          </w:tcPr>
          <w:p>
            <w:pPr>
              <w:keepNext w:val="0"/>
              <w:spacing w:after="40" w:before="20" w:line="252" w:lineRule="auto"/>
              <w:jc w:val="left"/>
            </w:pPr>
            <w:r>
              <w:rPr>
                <w:sz w:val="18"/>
              </w:rPr>
              <w:t>{{delivery_party}}</w:t>
            </w:r>
          </w:p>
        </w:tc>
        <w:tc>
          <w:tcPr>
            <w:tcW w:type="dxa" w:w="1871"/>
            <w:vAlign w:val="top"/>
          </w:tcPr>
          <w:p>
            <w:pPr>
              <w:keepNext w:val="0"/>
              <w:spacing w:after="40" w:before="20" w:line="252" w:lineRule="auto"/>
              <w:jc w:val="left"/>
            </w:pPr>
            <w:r>
              <w:rPr>
                <w:sz w:val="18"/>
              </w:rPr>
              <w:t>{{delivery_mode}}</w:t>
            </w:r>
          </w:p>
        </w:tc>
        <w:tc>
          <w:tcPr>
            <w:tcW w:type="dxa" w:w="1474"/>
            <w:vAlign w:val="top"/>
          </w:tcPr>
          <w:p>
            <w:pPr>
              <w:keepNext w:val="0"/>
              <w:spacing w:after="40" w:before="20" w:line="252" w:lineRule="auto"/>
              <w:jc w:val="left"/>
            </w:pPr>
            <w:r>
              <w:rPr>
                <w:sz w:val="18"/>
              </w:rPr>
              <w:t>{{delivery_date}}</w:t>
            </w:r>
          </w:p>
        </w:tc>
        <w:tc>
          <w:tcPr>
            <w:tcW w:type="dxa" w:w="3175"/>
            <w:vAlign w:val="top"/>
          </w:tcPr>
          <w:p>
            <w:pPr>
              <w:keepNext w:val="0"/>
              <w:spacing w:after="40" w:before="20" w:line="252" w:lineRule="auto"/>
              <w:jc w:val="left"/>
            </w:pPr>
            <w:r>
              <w:rPr>
                <w:sz w:val="18"/>
              </w:rPr>
              <w:t>{{delivery_proof_ref}}</w:t>
            </w:r>
          </w:p>
        </w:tc>
      </w:tr>
    </w:tbl>
    <w:p>
      <w:pPr>
        <w:spacing w:before="80"/>
        <w:jc w:val="left"/>
      </w:pPr>
      <w:r>
        <w:rPr>
          <w:i/>
          <w:sz w:val="18"/>
        </w:rPr>
        <w:t>Signed copies delivered as recorded above.</w:t>
      </w:r>
    </w:p>
    <w:sectPr w:rsidR="00FC693F" w:rsidRPr="0006063C" w:rsidSect="00034616">
      <w:headerReference w:type="default" r:id="rId9"/>
      <w:footerReference w:type="default" r:id="rId10"/>
      <w:footerReference w:type="first" r:id="rId11"/>
      <w:pgSz w:w="11906" w:h="16838"/>
      <w:pgMar w:top="1361" w:right="1304" w:bottom="1247" w:left="1701"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8C8C8C"/>
      </w:pBdr>
      <w:tabs>
        <w:tab w:pos="4680" w:val="clear"/>
        <w:tab w:pos="8901" w:val="right"/>
        <w:tab w:pos="9360" w:val="clear"/>
      </w:tabs>
      <w:jc w:val="left"/>
    </w:pPr>
    <w:r>
      <w:rPr>
        <w:smallCaps/>
        <w:color w:val="595959"/>
        <w:sz w:val="18"/>
      </w:rPr>
      <w:t xml:space="preserve">Arbitration Case No. </w:t>
    </w:r>
    <w:r>
      <w:rPr>
        <w:smallCaps/>
        <w:color w:val="595959"/>
        <w:sz w:val="18"/>
      </w:rPr>
      <w:t>{{case_no}}</w:t>
    </w:r>
    <w:r>
      <w:rPr>
        <w:smallCaps/>
        <w:color w:val="595959"/>
        <w:sz w:val="18"/>
      </w:rPr>
      <w:tab/>
    </w:r>
    <w:r>
      <w:rPr>
        <w:smallCaps/>
        <w:color w:val="595959"/>
        <w:sz w:val="18"/>
      </w:rPr>
      <w:t>{{claimant_short_name}}</w:t>
    </w:r>
    <w:r>
      <w:rPr>
        <w:smallCaps/>
        <w:color w:val="595959"/>
        <w:sz w:val="18"/>
      </w:rPr>
      <w:t xml:space="preserve"> v. </w:t>
    </w:r>
    <w:r>
      <w:rPr>
        <w:smallCaps/>
        <w:color w:val="595959"/>
        <w:sz w:val="18"/>
      </w:rPr>
      <w:t>{{respondent_name}}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0">
    <w:multiLevelType w:val="hybridMultilevel"/>
    <w:lvl w:ilvl="0">
      <w:start w:val="1"/>
      <w:numFmt w:val="decimal"/>
      <w:lvlText w:val="%1."/>
      <w:lvlJc w:val="left"/>
      <w:pPr>
        <w:tabs>
          <w:tab w:val="num" w:pos="680"/>
        </w:tabs>
        <w:ind w:left="680" w:hanging="680"/>
      </w:pPr>
      <w:rPr>
        <w:rFonts w:ascii="Cambria" w:hAnsi="Cambria" w:cs="Cambria"/>
      </w:rPr>
    </w:lvl>
    <w:lvl w:ilvl="1">
      <w:start w:val="1"/>
      <w:numFmt w:val="lowerLetter"/>
      <w:lvlText w:val="(%2)"/>
      <w:lvlJc w:val="left"/>
      <w:pPr>
        <w:tabs>
          <w:tab w:val="num" w:pos="1250"/>
        </w:tabs>
        <w:ind w:left="1250" w:hanging="570"/>
      </w:pPr>
      <w:rPr>
        <w:rFonts w:ascii="Cambria" w:hAnsi="Cambria" w:cs="Cambria"/>
      </w:rPr>
    </w:lvl>
    <w:lvl w:ilvl="2">
      <w:start w:val="1"/>
      <w:numFmt w:val="lowerRoman"/>
      <w:lvlText w:val="(%3)"/>
      <w:lvlJc w:val="left"/>
      <w:pPr>
        <w:tabs>
          <w:tab w:val="num" w:pos="1820"/>
        </w:tabs>
        <w:ind w:left="1820" w:hanging="570"/>
      </w:pPr>
      <w:rPr>
        <w:rFonts w:ascii="Cambria" w:hAnsi="Cambria" w:cs="Cambria"/>
      </w:rPr>
    </w:lvl>
  </w:abstractNum>
  <w:abstractNum w:abstractNumId="81">
    <w:multiLevelType w:val="hybridMultilevel"/>
    <w:lvl w:ilvl="0">
      <w:start w:val="1"/>
      <w:numFmt w:val="lowerRoman"/>
      <w:lvlText w:val="(%1)"/>
      <w:lvlJc w:val="left"/>
      <w:pPr>
        <w:tabs>
          <w:tab w:val="num" w:pos="1250"/>
        </w:tabs>
        <w:ind w:left="1250" w:hanging="570"/>
      </w:pPr>
      <w:rPr>
        <w:rFonts w:ascii="Cambria" w:hAnsi="Cambria" w:cs="Cambria"/>
        <w:b/>
      </w:rPr>
    </w:lvl>
  </w:abstractNum>
  <w:abstractNum w:abstractNumId="82">
    <w:multiLevelType w:val="hybridMultilevel"/>
    <w:lvl w:ilvl="0">
      <w:start w:val="1"/>
      <w:numFmt w:val="upperRoman"/>
      <w:lvlText w:val="%1."/>
      <w:lvlJc w:val="left"/>
      <w:pPr>
        <w:tabs>
          <w:tab w:val="num" w:pos="850"/>
        </w:tabs>
        <w:ind w:left="850" w:hanging="850"/>
      </w:pPr>
      <w:rPr>
        <w:rFonts w:ascii="Cambria" w:hAnsi="Cambria" w:cs="Cambria"/>
        <w:b/>
      </w:rPr>
    </w:lvl>
    <w:lvl w:ilvl="1">
      <w:start w:val="1"/>
      <w:numFmt w:val="lowerLetter"/>
      <w:lvlText w:val="(%2)"/>
      <w:lvlJc w:val="left"/>
      <w:pPr>
        <w:tabs>
          <w:tab w:val="num" w:pos="1420"/>
        </w:tabs>
        <w:ind w:left="1420" w:hanging="570"/>
      </w:pPr>
      <w:rPr>
        <w:rFonts w:ascii="Cambria" w:hAnsi="Cambria" w:cs="Cambri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before="0" w:line="276" w:lineRule="auto"/>
      <w:jc w:val="both"/>
    </w:pPr>
    <w:rPr>
      <w:rFonts w:ascii="Cambria" w:hAnsi="Cambria" w:cs="Cambria" w:eastAsia="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Directive">
    <w:name w:val="Template Directive"/>
    <w:basedOn w:val="Normal"/>
    <w:pPr>
      <w:keepNext/>
      <w:spacing w:after="40" w:before="40"/>
      <w:jc w:val="left"/>
    </w:pPr>
    <w:rPr>
      <w:b/>
      <w:color w:val="1F5F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