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C59"/>
          <w:sz w:val="44"/>
        </w:rPr>
        <w:t>DAM FAILURE &amp; SAFETY NEWS WATCH</w:t>
      </w:r>
    </w:p>
    <w:p>
      <w:pPr>
        <w:spacing w:after="80"/>
      </w:pPr>
      <w:r>
        <w:rPr>
          <w:rFonts w:ascii="Calibri" w:hAnsi="Calibri"/>
          <w:b/>
          <w:color w:val="0E7490"/>
          <w:sz w:val="26"/>
        </w:rPr>
        <w:t>Website Demo Video Scripts &amp; Operational Briefing</w:t>
      </w:r>
    </w:p>
    <w:p>
      <w:pPr>
        <w:spacing w:after="280"/>
      </w:pPr>
      <w:r>
        <w:rPr>
          <w:rFonts w:ascii="Calibri" w:hAnsi="Calibri"/>
          <w:i/>
          <w:color w:val="475569"/>
          <w:sz w:val="21"/>
        </w:rPr>
        <w:t>Prepared for: National Dam Safety Authority (NDSA) Leadership &amp; Technical Officers</w:t>
      </w:r>
    </w:p>
    <w:tbl>
      <w:tblPr>
        <w:tblW w:type="auto" w:w="0"/>
        <w:jc w:val="center"/>
        <w:tblLayout w:type="fixed"/>
        <w:tblLook w:firstColumn="1" w:firstRow="1" w:lastColumn="0" w:lastRow="0" w:noHBand="0" w:noVBand="1" w:val="04A0"/>
      </w:tblPr>
      <w:tblGrid>
        <w:gridCol w:w="4968"/>
        <w:gridCol w:w="4968"/>
      </w:tblGrid>
      <w:tr>
        <w:tc>
          <w:tcPr>
            <w:tcW w:type="dxa" w:w="3168"/>
            <w:shd w:fill="F1F5F9"/>
            <w:tcMar>
              <w:top w:w="100" w:type="dxa"/>
              <w:bottom w:w="100" w:type="dxa"/>
              <w:left w:w="140" w:type="dxa"/>
              <w:right w:w="140" w:type="dxa"/>
            </w:tcMar>
          </w:tcPr>
          <w:p>
            <w:pPr>
              <w:spacing w:after="0"/>
            </w:pPr>
            <w:r>
              <w:rPr>
                <w:b/>
                <w:color w:val="0F2C59"/>
                <w:sz w:val="19"/>
              </w:rPr>
              <w:t>Target Audience</w:t>
            </w:r>
          </w:p>
        </w:tc>
        <w:tc>
          <w:tcPr>
            <w:tcW w:type="dxa" w:w="6624"/>
            <w:shd w:fill="FFFFFF"/>
            <w:tcMar>
              <w:top w:w="100" w:type="dxa"/>
              <w:bottom w:w="100" w:type="dxa"/>
              <w:left w:w="140" w:type="dxa"/>
              <w:right w:w="140" w:type="dxa"/>
            </w:tcMar>
          </w:tcPr>
          <w:p>
            <w:pPr>
              <w:spacing w:after="0"/>
            </w:pPr>
            <w:r>
              <w:rPr>
                <w:color w:val="1E293B"/>
                <w:sz w:val="19"/>
              </w:rPr>
              <w:t>Chairman, Member Secretaries, Directors &amp; Technical Officers (NDSA &amp; SDSOs)</w:t>
            </w:r>
          </w:p>
        </w:tc>
      </w:tr>
      <w:tr>
        <w:tc>
          <w:tcPr>
            <w:tcW w:type="dxa" w:w="3168"/>
            <w:shd w:fill="F1F5F9"/>
            <w:tcMar>
              <w:top w:w="100" w:type="dxa"/>
              <w:bottom w:w="100" w:type="dxa"/>
              <w:left w:w="140" w:type="dxa"/>
              <w:right w:w="140" w:type="dxa"/>
            </w:tcMar>
          </w:tcPr>
          <w:p>
            <w:pPr>
              <w:spacing w:after="0"/>
            </w:pPr>
            <w:r>
              <w:rPr>
                <w:b/>
                <w:color w:val="0F2C59"/>
                <w:sz w:val="19"/>
              </w:rPr>
              <w:t>Primary Formats</w:t>
            </w:r>
          </w:p>
        </w:tc>
        <w:tc>
          <w:tcPr>
            <w:tcW w:type="dxa" w:w="6624"/>
            <w:shd w:fill="FFFFFF"/>
            <w:tcMar>
              <w:top w:w="100" w:type="dxa"/>
              <w:bottom w:w="100" w:type="dxa"/>
              <w:left w:w="140" w:type="dxa"/>
              <w:right w:w="140" w:type="dxa"/>
            </w:tcMar>
          </w:tcPr>
          <w:p>
            <w:pPr>
              <w:spacing w:after="0"/>
            </w:pPr>
            <w:r>
              <w:rPr>
                <w:color w:val="1E293B"/>
                <w:sz w:val="19"/>
              </w:rPr>
              <w:t>2-Minute Executive Version (Included) &amp; 4-Minute Detailed Version (Included)</w:t>
            </w:r>
          </w:p>
        </w:tc>
      </w:tr>
      <w:tr>
        <w:tc>
          <w:tcPr>
            <w:tcW w:type="dxa" w:w="3168"/>
            <w:shd w:fill="F1F5F9"/>
            <w:tcMar>
              <w:top w:w="100" w:type="dxa"/>
              <w:bottom w:w="100" w:type="dxa"/>
              <w:left w:w="140" w:type="dxa"/>
              <w:right w:w="140" w:type="dxa"/>
            </w:tcMar>
          </w:tcPr>
          <w:p>
            <w:pPr>
              <w:spacing w:after="0"/>
            </w:pPr>
            <w:r>
              <w:rPr>
                <w:b/>
                <w:color w:val="0F2C59"/>
                <w:sz w:val="19"/>
              </w:rPr>
              <w:t>System Focus</w:t>
            </w:r>
          </w:p>
        </w:tc>
        <w:tc>
          <w:tcPr>
            <w:tcW w:type="dxa" w:w="6624"/>
            <w:shd w:fill="FFFFFF"/>
            <w:tcMar>
              <w:top w:w="100" w:type="dxa"/>
              <w:bottom w:w="100" w:type="dxa"/>
              <w:left w:w="140" w:type="dxa"/>
              <w:right w:w="140" w:type="dxa"/>
            </w:tcMar>
          </w:tcPr>
          <w:p>
            <w:pPr>
              <w:spacing w:after="0"/>
            </w:pPr>
            <w:r>
              <w:rPr>
                <w:color w:val="1E293B"/>
                <w:sz w:val="19"/>
              </w:rPr>
              <w:t>NRSD 2026 Directory (6,814 Large Dams), 13 Indian Languages, Daily 7 AM IST Engine</w:t>
            </w:r>
          </w:p>
        </w:tc>
      </w:tr>
      <w:tr>
        <w:tc>
          <w:tcPr>
            <w:tcW w:type="dxa" w:w="3168"/>
            <w:shd w:fill="F1F5F9"/>
            <w:tcMar>
              <w:top w:w="100" w:type="dxa"/>
              <w:bottom w:w="100" w:type="dxa"/>
              <w:left w:w="140" w:type="dxa"/>
              <w:right w:w="140" w:type="dxa"/>
            </w:tcMar>
          </w:tcPr>
          <w:p>
            <w:pPr>
              <w:spacing w:after="0"/>
            </w:pPr>
            <w:r>
              <w:rPr>
                <w:b/>
                <w:color w:val="0F2C59"/>
                <w:sz w:val="19"/>
              </w:rPr>
              <w:t>Key Limitation Addressed</w:t>
            </w:r>
          </w:p>
        </w:tc>
        <w:tc>
          <w:tcPr>
            <w:tcW w:type="dxa" w:w="6624"/>
            <w:shd w:fill="FFFFFF"/>
            <w:tcMar>
              <w:top w:w="100" w:type="dxa"/>
              <w:bottom w:w="100" w:type="dxa"/>
              <w:left w:w="140" w:type="dxa"/>
              <w:right w:w="140" w:type="dxa"/>
            </w:tcMar>
          </w:tcPr>
          <w:p>
            <w:pPr>
              <w:spacing w:after="0"/>
            </w:pPr>
            <w:r>
              <w:rPr>
                <w:color w:val="1E293B"/>
                <w:sz w:val="19"/>
              </w:rPr>
              <w:t>Semantic Noise / Irrelevant Non-Dam News (Metaphors, River Bunds vs. Large Dams)</w:t>
            </w:r>
          </w:p>
        </w:tc>
      </w:tr>
    </w:tbl>
    <w:p>
      <w:pPr>
        <w:spacing w:after="200"/>
      </w:pPr>
    </w:p>
    <w:p>
      <w:pPr>
        <w:pStyle w:val="Heading1"/>
        <w:spacing w:before="240" w:after="80"/>
      </w:pPr>
      <w:r>
        <w:rPr>
          <w:rFonts w:ascii="Calibri" w:hAnsi="Calibri"/>
          <w:b/>
          <w:color w:val="0F2C59"/>
          <w:sz w:val="30"/>
        </w:rPr>
        <w:t>1. The 2-Minute Executive Demo Video Script</w:t>
      </w:r>
    </w:p>
    <w:p>
      <w:pPr>
        <w:spacing w:after="160"/>
      </w:pPr>
      <w:r>
        <w:rPr>
          <w:i/>
          <w:color w:val="475569"/>
          <w:sz w:val="20"/>
        </w:rPr>
        <w:t>Optimized for leadership briefings, high-level presentations, and fast walkthroughs (~260 words at 130 wpm).</w:t>
      </w:r>
    </w:p>
    <w:tbl>
      <w:tblPr>
        <w:tblW w:type="auto" w:w="0"/>
        <w:jc w:val="center"/>
        <w:tblLayout w:type="fixed"/>
        <w:tblLook w:firstColumn="1" w:firstRow="1" w:lastColumn="0" w:lastRow="0" w:noHBand="0" w:noVBand="1" w:val="04A0"/>
      </w:tblPr>
      <w:tblGrid>
        <w:gridCol w:w="3312"/>
        <w:gridCol w:w="3312"/>
        <w:gridCol w:w="3312"/>
      </w:tblGrid>
      <w:tr>
        <w:tc>
          <w:tcPr>
            <w:tcW w:type="dxa" w:w="1584"/>
            <w:shd w:fill="0F2C59"/>
            <w:tcMar>
              <w:top w:w="120" w:type="dxa"/>
              <w:bottom w:w="120" w:type="dxa"/>
              <w:left w:w="120" w:type="dxa"/>
              <w:right w:w="120" w:type="dxa"/>
            </w:tcMar>
          </w:tcPr>
          <w:p>
            <w:pPr>
              <w:spacing w:after="0"/>
            </w:pPr>
            <w:r>
              <w:rPr>
                <w:b/>
                <w:color w:val="FFFFFF"/>
                <w:sz w:val="19"/>
              </w:rPr>
              <w:t>Timeline</w:t>
            </w:r>
          </w:p>
        </w:tc>
        <w:tc>
          <w:tcPr>
            <w:tcW w:type="dxa" w:w="3600"/>
            <w:shd w:fill="0F2C59"/>
            <w:tcMar>
              <w:top w:w="120" w:type="dxa"/>
              <w:bottom w:w="120" w:type="dxa"/>
              <w:left w:w="120" w:type="dxa"/>
              <w:right w:w="120" w:type="dxa"/>
            </w:tcMar>
          </w:tcPr>
          <w:p>
            <w:pPr>
              <w:spacing w:after="0"/>
            </w:pPr>
            <w:r>
              <w:rPr>
                <w:b/>
                <w:color w:val="FFFFFF"/>
                <w:sz w:val="19"/>
              </w:rPr>
              <w:t>Visual / Screen Action</w:t>
            </w:r>
          </w:p>
        </w:tc>
        <w:tc>
          <w:tcPr>
            <w:tcW w:type="dxa" w:w="4608"/>
            <w:shd w:fill="0F2C59"/>
            <w:tcMar>
              <w:top w:w="120" w:type="dxa"/>
              <w:bottom w:w="120" w:type="dxa"/>
              <w:left w:w="120" w:type="dxa"/>
              <w:right w:w="120" w:type="dxa"/>
            </w:tcMar>
          </w:tcPr>
          <w:p>
            <w:pPr>
              <w:spacing w:after="0"/>
            </w:pPr>
            <w:r>
              <w:rPr>
                <w:b/>
                <w:color w:val="FFFFFF"/>
                <w:sz w:val="19"/>
              </w:rPr>
              <w:t>Voiceover (Narration)</w:t>
            </w:r>
          </w:p>
        </w:tc>
      </w:tr>
      <w:tr>
        <w:tc>
          <w:tcPr>
            <w:tcW w:type="dxa" w:w="1584"/>
            <w:shd w:fill="F8FAFC"/>
            <w:tcMar>
              <w:top w:w="100" w:type="dxa"/>
              <w:bottom w:w="100" w:type="dxa"/>
              <w:left w:w="120" w:type="dxa"/>
              <w:right w:w="120" w:type="dxa"/>
            </w:tcMar>
          </w:tcPr>
          <w:p>
            <w:pPr>
              <w:spacing w:after="0"/>
            </w:pPr>
            <w:r>
              <w:rPr>
                <w:b/>
                <w:color w:val="0F2C59"/>
                <w:sz w:val="18"/>
              </w:rPr>
              <w:t>0:00 - 0:12</w:t>
              <w:br/>
              <w:t>(12 sec)</w:t>
            </w:r>
          </w:p>
        </w:tc>
        <w:tc>
          <w:tcPr>
            <w:tcW w:type="dxa" w:w="3600"/>
            <w:shd w:fill="F8FAFC"/>
            <w:tcMar>
              <w:top w:w="100" w:type="dxa"/>
              <w:bottom w:w="100" w:type="dxa"/>
              <w:left w:w="120" w:type="dxa"/>
              <w:right w:w="120" w:type="dxa"/>
            </w:tcMar>
          </w:tcPr>
          <w:p>
            <w:pPr>
              <w:spacing w:after="0"/>
            </w:pPr>
            <w:r>
              <w:rPr>
                <w:color w:val="1E293B"/>
                <w:sz w:val="18"/>
              </w:rPr>
              <w:t>Start on Homepage.</w:t>
              <w:br/>
              <w:t>Hover cursor over header, showing 'Auto-updates daily at 7:00 AM IST' badge and live news cards.</w:t>
            </w:r>
          </w:p>
        </w:tc>
        <w:tc>
          <w:tcPr>
            <w:tcW w:type="dxa" w:w="4608"/>
            <w:shd w:fill="F8FAFC"/>
            <w:tcMar>
              <w:top w:w="100" w:type="dxa"/>
              <w:bottom w:w="100" w:type="dxa"/>
              <w:left w:w="120" w:type="dxa"/>
              <w:right w:w="120" w:type="dxa"/>
            </w:tcMar>
          </w:tcPr>
          <w:p>
            <w:pPr>
              <w:spacing w:after="0"/>
            </w:pPr>
            <w:r>
              <w:rPr>
                <w:i/>
                <w:color w:val="1E293B"/>
                <w:sz w:val="18"/>
              </w:rPr>
              <w:t>"Respected NDSA officials: Under the Dam Safety Act, monitoring structural vulnerabilities across India’s 6,800+ large dams requires 24/7 situational awareness."</w:t>
            </w:r>
          </w:p>
        </w:tc>
      </w:tr>
      <w:tr>
        <w:tc>
          <w:tcPr>
            <w:tcW w:type="dxa" w:w="1584"/>
            <w:shd w:fill="FFFFFF"/>
            <w:tcMar>
              <w:top w:w="100" w:type="dxa"/>
              <w:bottom w:w="100" w:type="dxa"/>
              <w:left w:w="120" w:type="dxa"/>
              <w:right w:w="120" w:type="dxa"/>
            </w:tcMar>
          </w:tcPr>
          <w:p>
            <w:pPr>
              <w:spacing w:after="0"/>
            </w:pPr>
            <w:r>
              <w:rPr>
                <w:b/>
                <w:color w:val="0F2C59"/>
                <w:sz w:val="18"/>
              </w:rPr>
              <w:t>0:12 - 0:25</w:t>
              <w:br/>
              <w:t>(13 sec)</w:t>
            </w:r>
          </w:p>
        </w:tc>
        <w:tc>
          <w:tcPr>
            <w:tcW w:type="dxa" w:w="3600"/>
            <w:shd w:fill="FFFFFF"/>
            <w:tcMar>
              <w:top w:w="100" w:type="dxa"/>
              <w:bottom w:w="100" w:type="dxa"/>
              <w:left w:w="120" w:type="dxa"/>
              <w:right w:w="120" w:type="dxa"/>
            </w:tcMar>
          </w:tcPr>
          <w:p>
            <w:pPr>
              <w:spacing w:after="0"/>
            </w:pPr>
            <w:r>
              <w:rPr>
                <w:color w:val="1E293B"/>
                <w:sz w:val="18"/>
              </w:rPr>
              <w:t>Scroll through news feed showing diverse vernacular headlines, state tags, and media badges.</w:t>
            </w:r>
          </w:p>
        </w:tc>
        <w:tc>
          <w:tcPr>
            <w:tcW w:type="dxa" w:w="4608"/>
            <w:shd w:fill="FFFFFF"/>
            <w:tcMar>
              <w:top w:w="100" w:type="dxa"/>
              <w:bottom w:w="100" w:type="dxa"/>
              <w:left w:w="120" w:type="dxa"/>
              <w:right w:w="120" w:type="dxa"/>
            </w:tcMar>
          </w:tcPr>
          <w:p>
            <w:pPr>
              <w:spacing w:after="0"/>
            </w:pPr>
            <w:r>
              <w:rPr>
                <w:i/>
                <w:color w:val="1E293B"/>
                <w:sz w:val="18"/>
              </w:rPr>
              <w:t>"Local dam incidents—such as minor breaches, gate failures, or seepages—often break in regional newspapers hours before official channels receive word. This platform automates that surveillance across India."</w:t>
            </w:r>
          </w:p>
        </w:tc>
      </w:tr>
      <w:tr>
        <w:tc>
          <w:tcPr>
            <w:tcW w:type="dxa" w:w="1584"/>
            <w:shd w:fill="F8FAFC"/>
            <w:tcMar>
              <w:top w:w="100" w:type="dxa"/>
              <w:bottom w:w="100" w:type="dxa"/>
              <w:left w:w="120" w:type="dxa"/>
              <w:right w:w="120" w:type="dxa"/>
            </w:tcMar>
          </w:tcPr>
          <w:p>
            <w:pPr>
              <w:spacing w:after="0"/>
            </w:pPr>
            <w:r>
              <w:rPr>
                <w:b/>
                <w:color w:val="0F2C59"/>
                <w:sz w:val="18"/>
              </w:rPr>
              <w:t>0:25 - 0:45</w:t>
              <w:br/>
              <w:t>(20 sec)</w:t>
            </w:r>
          </w:p>
        </w:tc>
        <w:tc>
          <w:tcPr>
            <w:tcW w:type="dxa" w:w="3600"/>
            <w:shd w:fill="F8FAFC"/>
            <w:tcMar>
              <w:top w:w="100" w:type="dxa"/>
              <w:bottom w:w="100" w:type="dxa"/>
              <w:left w:w="120" w:type="dxa"/>
              <w:right w:w="120" w:type="dxa"/>
            </w:tcMar>
          </w:tcPr>
          <w:p>
            <w:pPr>
              <w:spacing w:after="0"/>
            </w:pPr>
            <w:r>
              <w:rPr>
                <w:color w:val="1E293B"/>
                <w:sz w:val="18"/>
              </w:rPr>
              <w:t>NRSD Directory Lookup:</w:t>
              <w:br/>
              <w:t>Click top-left 'NRSD Dam Directory' box. Type 'Sardar Sarovar' or 'Tehri'. Click to open Salient Features modal (PIC code, height, capacity, river basin).</w:t>
            </w:r>
          </w:p>
        </w:tc>
        <w:tc>
          <w:tcPr>
            <w:tcW w:type="dxa" w:w="4608"/>
            <w:shd w:fill="F8FAFC"/>
            <w:tcMar>
              <w:top w:w="100" w:type="dxa"/>
              <w:bottom w:w="100" w:type="dxa"/>
              <w:left w:w="120" w:type="dxa"/>
              <w:right w:w="120" w:type="dxa"/>
            </w:tcMar>
          </w:tcPr>
          <w:p>
            <w:pPr>
              <w:spacing w:after="0"/>
            </w:pPr>
            <w:r>
              <w:rPr>
                <w:i/>
                <w:color w:val="1E293B"/>
                <w:sz w:val="18"/>
              </w:rPr>
              <w:t>"First, the portal directly integrates the National Register of Large Dams. Officers can search any of the 6,814 dams or filter by district to view official salient features and jump straight to related news reports."</w:t>
            </w:r>
          </w:p>
        </w:tc>
      </w:tr>
      <w:tr>
        <w:tc>
          <w:tcPr>
            <w:tcW w:type="dxa" w:w="1584"/>
            <w:shd w:fill="FFFFFF"/>
            <w:tcMar>
              <w:top w:w="100" w:type="dxa"/>
              <w:bottom w:w="100" w:type="dxa"/>
              <w:left w:w="120" w:type="dxa"/>
              <w:right w:w="120" w:type="dxa"/>
            </w:tcMar>
          </w:tcPr>
          <w:p>
            <w:pPr>
              <w:spacing w:after="0"/>
            </w:pPr>
            <w:r>
              <w:rPr>
                <w:b/>
                <w:color w:val="0F2C59"/>
                <w:sz w:val="18"/>
              </w:rPr>
              <w:t>0:45 - 1:05</w:t>
              <w:br/>
              <w:t>(20 sec)</w:t>
            </w:r>
          </w:p>
        </w:tc>
        <w:tc>
          <w:tcPr>
            <w:tcW w:type="dxa" w:w="3600"/>
            <w:shd w:fill="FFFFFF"/>
            <w:tcMar>
              <w:top w:w="100" w:type="dxa"/>
              <w:bottom w:w="100" w:type="dxa"/>
              <w:left w:w="120" w:type="dxa"/>
              <w:right w:w="120" w:type="dxa"/>
            </w:tcMar>
          </w:tcPr>
          <w:p>
            <w:pPr>
              <w:spacing w:after="0"/>
            </w:pPr>
            <w:r>
              <w:rPr>
                <w:color w:val="1E293B"/>
                <w:sz w:val="18"/>
              </w:rPr>
              <w:t>13 Languages &amp; Deep Search:</w:t>
              <w:br/>
              <w:t>Pan across 13 Indian language chips. Click 'Search by name' in top bar, then point to 'Download as CSV' link.</w:t>
            </w:r>
          </w:p>
        </w:tc>
        <w:tc>
          <w:tcPr>
            <w:tcW w:type="dxa" w:w="4608"/>
            <w:shd w:fill="FFFFFF"/>
            <w:tcMar>
              <w:top w:w="100" w:type="dxa"/>
              <w:bottom w:w="100" w:type="dxa"/>
              <w:left w:w="120" w:type="dxa"/>
              <w:right w:w="120" w:type="dxa"/>
            </w:tcMar>
          </w:tcPr>
          <w:p>
            <w:pPr>
              <w:spacing w:after="0"/>
            </w:pPr>
            <w:r>
              <w:rPr>
                <w:i/>
                <w:color w:val="1E293B"/>
                <w:sz w:val="18"/>
              </w:rPr>
              <w:t>"Second, it continuously monitors national dailies, YouTube field reports, and regional press across 13 Indian languages, updating automatically every morning at 7:00 AM IST. Officers can filter by State, perform deep searches by dam name, and export data directly to CSV for official briefings."</w:t>
            </w:r>
          </w:p>
        </w:tc>
      </w:tr>
      <w:tr>
        <w:tc>
          <w:tcPr>
            <w:tcW w:type="dxa" w:w="1584"/>
            <w:shd w:fill="F8FAFC"/>
            <w:tcMar>
              <w:top w:w="100" w:type="dxa"/>
              <w:bottom w:w="100" w:type="dxa"/>
              <w:left w:w="120" w:type="dxa"/>
              <w:right w:w="120" w:type="dxa"/>
            </w:tcMar>
          </w:tcPr>
          <w:p>
            <w:pPr>
              <w:spacing w:after="0"/>
            </w:pPr>
            <w:r>
              <w:rPr>
                <w:b/>
                <w:color w:val="0F2C59"/>
                <w:sz w:val="18"/>
              </w:rPr>
              <w:t>1:05 - 1:25</w:t>
              <w:br/>
              <w:t>(20 sec)</w:t>
            </w:r>
          </w:p>
        </w:tc>
        <w:tc>
          <w:tcPr>
            <w:tcW w:type="dxa" w:w="3600"/>
            <w:shd w:fill="F8FAFC"/>
            <w:tcMar>
              <w:top w:w="100" w:type="dxa"/>
              <w:bottom w:w="100" w:type="dxa"/>
              <w:left w:w="120" w:type="dxa"/>
              <w:right w:w="120" w:type="dxa"/>
            </w:tcMar>
          </w:tcPr>
          <w:p>
            <w:pPr>
              <w:spacing w:after="0"/>
            </w:pPr>
            <w:r>
              <w:rPr>
                <w:color w:val="1E293B"/>
                <w:sz w:val="18"/>
              </w:rPr>
              <w:t>Shortcoming Highlight:</w:t>
              <w:br/>
              <w:t>Point to a news card with the 'Possible match' badge or an article discussing canal overflow / political debates.</w:t>
            </w:r>
          </w:p>
        </w:tc>
        <w:tc>
          <w:tcPr>
            <w:tcW w:type="dxa" w:w="4608"/>
            <w:shd w:fill="F8FAFC"/>
            <w:tcMar>
              <w:top w:w="100" w:type="dxa"/>
              <w:bottom w:w="100" w:type="dxa"/>
              <w:left w:w="120" w:type="dxa"/>
              <w:right w:w="120" w:type="dxa"/>
            </w:tcMar>
          </w:tcPr>
          <w:p>
            <w:pPr>
              <w:spacing w:after="0"/>
            </w:pPr>
            <w:r>
              <w:rPr>
                <w:i/>
                <w:color w:val="1E293B"/>
                <w:sz w:val="18"/>
              </w:rPr>
              <w:t>"Now, an honest look at our current limitation: semantic noise and non-dam news. Because the system scans open media, automated scrapers occasionally pick up articles that are not actual dam safety incidents:"</w:t>
            </w:r>
          </w:p>
        </w:tc>
      </w:tr>
      <w:tr>
        <w:tc>
          <w:tcPr>
            <w:tcW w:type="dxa" w:w="1584"/>
            <w:shd w:fill="FFFFFF"/>
            <w:tcMar>
              <w:top w:w="100" w:type="dxa"/>
              <w:bottom w:w="100" w:type="dxa"/>
              <w:left w:w="120" w:type="dxa"/>
              <w:right w:w="120" w:type="dxa"/>
            </w:tcMar>
          </w:tcPr>
          <w:p>
            <w:pPr>
              <w:spacing w:after="0"/>
            </w:pPr>
            <w:r>
              <w:rPr>
                <w:b/>
                <w:color w:val="0F2C59"/>
                <w:sz w:val="18"/>
              </w:rPr>
              <w:t>1:25 - 1:45</w:t>
              <w:br/>
              <w:t>(20 sec)</w:t>
            </w:r>
          </w:p>
        </w:tc>
        <w:tc>
          <w:tcPr>
            <w:tcW w:type="dxa" w:w="3600"/>
            <w:shd w:fill="FFFFFF"/>
            <w:tcMar>
              <w:top w:w="100" w:type="dxa"/>
              <w:bottom w:w="100" w:type="dxa"/>
              <w:left w:w="120" w:type="dxa"/>
              <w:right w:w="120" w:type="dxa"/>
            </w:tcMar>
          </w:tcPr>
          <w:p>
            <w:pPr>
              <w:spacing w:after="0"/>
            </w:pPr>
            <w:r>
              <w:rPr>
                <w:color w:val="1E293B"/>
                <w:sz w:val="18"/>
              </w:rPr>
              <w:t>Noise Demonstration &amp; Mitigation:</w:t>
              <w:br/>
              <w:t>Show 'Include possible matches' checkbox being toggled. Show how feed isolates clean structural news.</w:t>
            </w:r>
          </w:p>
        </w:tc>
        <w:tc>
          <w:tcPr>
            <w:tcW w:type="dxa" w:w="4608"/>
            <w:shd w:fill="FFFFFF"/>
            <w:tcMar>
              <w:top w:w="100" w:type="dxa"/>
              <w:bottom w:w="100" w:type="dxa"/>
              <w:left w:w="120" w:type="dxa"/>
              <w:right w:w="120" w:type="dxa"/>
            </w:tcMar>
          </w:tcPr>
          <w:p>
            <w:pPr>
              <w:spacing w:after="0"/>
            </w:pPr>
            <w:r>
              <w:rPr>
                <w:i/>
                <w:color w:val="1E293B"/>
                <w:sz w:val="18"/>
              </w:rPr>
              <w:t>"• Metaphorical headlines—such as 'the dam of patience broke'.</w:t>
              <w:br/>
              <w:t>• Canal &amp; river bunds—in regional languages, 'bandh' or 'bund' often refers to local road or river embankments rather than large dams.</w:t>
              <w:br/>
              <w:t>• Routine reservoir reports and water-sharing debates.</w:t>
              <w:br/>
              <w:br/>
              <w:t>To manage this, the platform flags uncertain items as 'Possible matches' by default, supported by an AI filtering layer to keep the primary dashboard clean."</w:t>
            </w:r>
          </w:p>
        </w:tc>
      </w:tr>
      <w:tr>
        <w:tc>
          <w:tcPr>
            <w:tcW w:type="dxa" w:w="1584"/>
            <w:shd w:fill="F8FAFC"/>
            <w:tcMar>
              <w:top w:w="100" w:type="dxa"/>
              <w:bottom w:w="100" w:type="dxa"/>
              <w:left w:w="120" w:type="dxa"/>
              <w:right w:w="120" w:type="dxa"/>
            </w:tcMar>
          </w:tcPr>
          <w:p>
            <w:pPr>
              <w:spacing w:after="0"/>
            </w:pPr>
            <w:r>
              <w:rPr>
                <w:b/>
                <w:color w:val="0F2C59"/>
                <w:sz w:val="18"/>
              </w:rPr>
              <w:t>1:45 - 2:00</w:t>
              <w:br/>
              <w:t>(15 sec)</w:t>
            </w:r>
          </w:p>
        </w:tc>
        <w:tc>
          <w:tcPr>
            <w:tcW w:type="dxa" w:w="3600"/>
            <w:shd w:fill="F8FAFC"/>
            <w:tcMar>
              <w:top w:w="100" w:type="dxa"/>
              <w:bottom w:w="100" w:type="dxa"/>
              <w:left w:w="120" w:type="dxa"/>
              <w:right w:w="120" w:type="dxa"/>
            </w:tcMar>
          </w:tcPr>
          <w:p>
            <w:pPr>
              <w:spacing w:after="0"/>
            </w:pPr>
            <w:r>
              <w:rPr>
                <w:color w:val="1E293B"/>
                <w:sz w:val="18"/>
              </w:rPr>
              <w:t>Closing &amp; Value Proposition:</w:t>
              <w:br/>
              <w:t>Zoom out to show the unified portal view (NRSD directory, clean feed, active filters). Fade to contact/NDSA slide.</w:t>
            </w:r>
          </w:p>
        </w:tc>
        <w:tc>
          <w:tcPr>
            <w:tcW w:type="dxa" w:w="4608"/>
            <w:shd w:fill="F8FAFC"/>
            <w:tcMar>
              <w:top w:w="100" w:type="dxa"/>
              <w:bottom w:w="100" w:type="dxa"/>
              <w:left w:w="120" w:type="dxa"/>
              <w:right w:w="120" w:type="dxa"/>
            </w:tcMar>
          </w:tcPr>
          <w:p>
            <w:pPr>
              <w:spacing w:after="0"/>
            </w:pPr>
            <w:r>
              <w:rPr>
                <w:i/>
                <w:color w:val="1E293B"/>
                <w:sz w:val="18"/>
              </w:rPr>
              <w:t>"The Dam Failure News Watch transforms fragmented media into a single, proactive intelligence radar for the NDSA. We welcome your feedback to further calibrate regional precision. Thank you."</w:t>
            </w:r>
          </w:p>
        </w:tc>
      </w:tr>
    </w:tbl>
    <w:p>
      <w:pPr>
        <w:spacing w:after="240"/>
      </w:pPr>
    </w:p>
    <w:p>
      <w:pPr>
        <w:pStyle w:val="Heading1"/>
        <w:spacing w:before="240" w:after="120"/>
      </w:pPr>
      <w:r>
        <w:rPr>
          <w:rFonts w:ascii="Calibri" w:hAnsi="Calibri"/>
          <w:b/>
          <w:color w:val="0F2C59"/>
          <w:sz w:val="30"/>
        </w:rPr>
        <w:t>2. Continuous Voiceover Script (Teleprompter Ready)</w:t>
      </w:r>
    </w:p>
    <w:p>
      <w:pPr>
        <w:spacing w:line="288" w:lineRule="auto" w:after="280"/>
      </w:pPr>
      <w:r>
        <w:rPr>
          <w:rFonts w:ascii="Calibri" w:hAnsi="Calibri"/>
          <w:i/>
          <w:color w:val="1E293B"/>
          <w:sz w:val="20"/>
        </w:rPr>
        <w:t>across India’s 6,800+ large dams requires 24/7 situational awareness. Local dam incidents—such as minor breaches, gate failures, or seepages—often break in regional newspapers hours before official channels receive word. This platform automates that surveillance across India.</w:t>
        <w:br/>
        <w:br/>
        <w:t>First, the portal directly integrates the National Register of Large Dams. Officers can search any of the 6,814 dams or filter by district to view official salient features and jump straight to related news reports.</w:t>
        <w:br/>
        <w:br/>
        <w:t>Second, it continuously monitors national dailies, YouTube field reports, and regional press across 13 Indian languages, updating automatically every morning at 7:00 AM IST. Officers can filter by State, perform deep searches by dam name, and export data directly to CSV for official briefings.</w:t>
        <w:br/>
        <w:br/>
        <w:t>Now, an honest look at our current limitation: semantic noise and non-dam news. Because the system scans open media, automated scrapers occasionally pick up articles that are not actual dam safety incidents: metaphorical headlines like 'the dam of patience broke'; local canal or river bund washouts that are not large dams; and routine reservoir level updates. To manage this, the platform separates verified incidents from 'Possible matches' by default, backed by an AI filtering layer to keep the primary dashboard clean.</w:t>
        <w:br/>
        <w:br/>
        <w:t>The Dam Failure News Watch transforms fragmented media into a single, proactive intelligence radar for the NDSA. We welcome your feedback to further calibrate regional precision. Thank you."</w:t>
      </w:r>
    </w:p>
    <w:p>
      <w:pPr>
        <w:pStyle w:val="Heading1"/>
        <w:spacing w:before="240" w:after="120"/>
      </w:pPr>
      <w:r>
        <w:rPr>
          <w:rFonts w:ascii="Calibri" w:hAnsi="Calibri"/>
          <w:b/>
          <w:color w:val="0F2C59"/>
          <w:sz w:val="30"/>
        </w:rPr>
        <w:t>3. Detailed Technical Analysis: Shortcomings &amp; Noise Mitigation</w:t>
      </w:r>
    </w:p>
    <w:p>
      <w:pPr>
        <w:spacing w:after="160"/>
      </w:pPr>
      <w:r>
        <w:rPr>
          <w:color w:val="1E293B"/>
          <w:sz w:val="20"/>
        </w:rPr>
        <w:t>For technical reviews and committee presentations, the table below provides granular explanations of why false positives occur in media scrapers and the specific architectural safeguards implemented:</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2C59"/>
            <w:tcMar>
              <w:top w:w="120" w:type="dxa"/>
              <w:bottom w:w="120" w:type="dxa"/>
              <w:left w:w="120" w:type="dxa"/>
              <w:right w:w="120" w:type="dxa"/>
            </w:tcMar>
          </w:tcPr>
          <w:p>
            <w:pPr>
              <w:spacing w:after="0"/>
            </w:pPr>
            <w:r>
              <w:rPr>
                <w:b/>
                <w:color w:val="FFFFFF"/>
                <w:sz w:val="19"/>
              </w:rPr>
              <w:t>Noise Category / Shortcoming</w:t>
            </w:r>
          </w:p>
        </w:tc>
        <w:tc>
          <w:tcPr>
            <w:tcW w:type="dxa" w:w="3600"/>
            <w:shd w:fill="0F2C59"/>
            <w:tcMar>
              <w:top w:w="120" w:type="dxa"/>
              <w:bottom w:w="120" w:type="dxa"/>
              <w:left w:w="120" w:type="dxa"/>
              <w:right w:w="120" w:type="dxa"/>
            </w:tcMar>
          </w:tcPr>
          <w:p>
            <w:pPr>
              <w:spacing w:after="0"/>
            </w:pPr>
            <w:r>
              <w:rPr>
                <w:b/>
                <w:color w:val="FFFFFF"/>
                <w:sz w:val="19"/>
              </w:rPr>
              <w:t>Typical Real-World Example</w:t>
            </w:r>
          </w:p>
        </w:tc>
        <w:tc>
          <w:tcPr>
            <w:tcW w:type="dxa" w:w="3600"/>
            <w:shd w:fill="0F2C59"/>
            <w:tcMar>
              <w:top w:w="120" w:type="dxa"/>
              <w:bottom w:w="120" w:type="dxa"/>
              <w:left w:w="120" w:type="dxa"/>
              <w:right w:w="120" w:type="dxa"/>
            </w:tcMar>
          </w:tcPr>
          <w:p>
            <w:pPr>
              <w:spacing w:after="0"/>
            </w:pPr>
            <w:r>
              <w:rPr>
                <w:b/>
                <w:color w:val="FFFFFF"/>
                <w:sz w:val="19"/>
              </w:rPr>
              <w:t>System Safeguard / Mitigation</w:t>
            </w:r>
          </w:p>
        </w:tc>
      </w:tr>
      <w:tr>
        <w:tc>
          <w:tcPr>
            <w:tcW w:type="dxa" w:w="2592"/>
            <w:shd w:fill="F8FAFC"/>
            <w:tcMar>
              <w:top w:w="100" w:type="dxa"/>
              <w:bottom w:w="100" w:type="dxa"/>
              <w:left w:w="120" w:type="dxa"/>
              <w:right w:w="120" w:type="dxa"/>
            </w:tcMar>
          </w:tcPr>
          <w:p>
            <w:pPr>
              <w:spacing w:after="0"/>
            </w:pPr>
            <w:r>
              <w:rPr>
                <w:b/>
                <w:color w:val="0F2C59"/>
                <w:sz w:val="18"/>
              </w:rPr>
              <w:t>1. Metaphorical Language in Journalism</w:t>
            </w:r>
          </w:p>
        </w:tc>
        <w:tc>
          <w:tcPr>
            <w:tcW w:type="dxa" w:w="3600"/>
            <w:shd w:fill="F8FAFC"/>
            <w:tcMar>
              <w:top w:w="100" w:type="dxa"/>
              <w:bottom w:w="100" w:type="dxa"/>
              <w:left w:w="120" w:type="dxa"/>
              <w:right w:w="120" w:type="dxa"/>
            </w:tcMar>
          </w:tcPr>
          <w:p>
            <w:pPr>
              <w:spacing w:after="0"/>
            </w:pPr>
            <w:r>
              <w:rPr>
                <w:color w:val="1E293B"/>
                <w:sz w:val="18"/>
              </w:rPr>
              <w:t>Headlines like 'Opposition breaches government dam of patience', 'Inflation dam bursts', or 'Film breaks box office dam'.</w:t>
            </w:r>
          </w:p>
        </w:tc>
        <w:tc>
          <w:tcPr>
            <w:tcW w:type="dxa" w:w="3600"/>
            <w:shd w:fill="F8FAFC"/>
            <w:tcMar>
              <w:top w:w="100" w:type="dxa"/>
              <w:bottom w:w="100" w:type="dxa"/>
              <w:left w:w="120" w:type="dxa"/>
              <w:right w:w="120" w:type="dxa"/>
            </w:tcMar>
          </w:tcPr>
          <w:p>
            <w:pPr>
              <w:spacing w:after="0"/>
            </w:pPr>
            <w:r>
              <w:rPr>
                <w:color w:val="1E293B"/>
                <w:sz w:val="18"/>
              </w:rPr>
              <w:t>Filtered via compound scoring (requires structural dam noun + hydrological failure verb) and optional LLM classification that discards political/sports metaphors.</w:t>
            </w:r>
          </w:p>
        </w:tc>
      </w:tr>
      <w:tr>
        <w:tc>
          <w:tcPr>
            <w:tcW w:type="dxa" w:w="2592"/>
            <w:shd w:fill="FFFFFF"/>
            <w:tcMar>
              <w:top w:w="100" w:type="dxa"/>
              <w:bottom w:w="100" w:type="dxa"/>
              <w:left w:w="120" w:type="dxa"/>
              <w:right w:w="120" w:type="dxa"/>
            </w:tcMar>
          </w:tcPr>
          <w:p>
            <w:pPr>
              <w:spacing w:after="0"/>
            </w:pPr>
            <w:r>
              <w:rPr>
                <w:b/>
                <w:color w:val="0F2C59"/>
                <w:sz w:val="18"/>
              </w:rPr>
              <w:t>2. River Embankments &amp; Canal Bunds vs. Large Dams</w:t>
            </w:r>
          </w:p>
        </w:tc>
        <w:tc>
          <w:tcPr>
            <w:tcW w:type="dxa" w:w="3600"/>
            <w:shd w:fill="FFFFFF"/>
            <w:tcMar>
              <w:top w:w="100" w:type="dxa"/>
              <w:bottom w:w="100" w:type="dxa"/>
              <w:left w:w="120" w:type="dxa"/>
              <w:right w:w="120" w:type="dxa"/>
            </w:tcMar>
          </w:tcPr>
          <w:p>
            <w:pPr>
              <w:spacing w:after="0"/>
            </w:pPr>
            <w:r>
              <w:rPr>
                <w:color w:val="1E293B"/>
                <w:sz w:val="18"/>
              </w:rPr>
              <w:t>In vernacular media (Hindi, Marathi, Gujarati, Telugu, Bengali), terms like 'bandh', 'bund', 'talav', or 'naala' are often used for village ponds, road bunds, or river dykes.</w:t>
            </w:r>
          </w:p>
        </w:tc>
        <w:tc>
          <w:tcPr>
            <w:tcW w:type="dxa" w:w="3600"/>
            <w:shd w:fill="FFFFFF"/>
            <w:tcMar>
              <w:top w:w="100" w:type="dxa"/>
              <w:bottom w:w="100" w:type="dxa"/>
              <w:left w:w="120" w:type="dxa"/>
              <w:right w:w="120" w:type="dxa"/>
            </w:tcMar>
          </w:tcPr>
          <w:p>
            <w:pPr>
              <w:spacing w:after="0"/>
            </w:pPr>
            <w:r>
              <w:rPr>
                <w:color w:val="1E293B"/>
                <w:sz w:val="18"/>
              </w:rPr>
              <w:t>The system isolates small embankment stories. By default, items without a registered large dam context are tagged as 'Possible Match' or dropped, keeping large dams distinct.</w:t>
            </w:r>
          </w:p>
        </w:tc>
      </w:tr>
      <w:tr>
        <w:tc>
          <w:tcPr>
            <w:tcW w:type="dxa" w:w="2592"/>
            <w:shd w:fill="F8FAFC"/>
            <w:tcMar>
              <w:top w:w="100" w:type="dxa"/>
              <w:bottom w:w="100" w:type="dxa"/>
              <w:left w:w="120" w:type="dxa"/>
              <w:right w:w="120" w:type="dxa"/>
            </w:tcMar>
          </w:tcPr>
          <w:p>
            <w:pPr>
              <w:spacing w:after="0"/>
            </w:pPr>
            <w:r>
              <w:rPr>
                <w:b/>
                <w:color w:val="0F2C59"/>
                <w:sz w:val="18"/>
              </w:rPr>
              <w:t>3. Routine Reservoir Water Levels vs. Structural Failures</w:t>
            </w:r>
          </w:p>
        </w:tc>
        <w:tc>
          <w:tcPr>
            <w:tcW w:type="dxa" w:w="3600"/>
            <w:shd w:fill="F8FAFC"/>
            <w:tcMar>
              <w:top w:w="100" w:type="dxa"/>
              <w:bottom w:w="100" w:type="dxa"/>
              <w:left w:w="120" w:type="dxa"/>
              <w:right w:w="120" w:type="dxa"/>
            </w:tcMar>
          </w:tcPr>
          <w:p>
            <w:pPr>
              <w:spacing w:after="0"/>
            </w:pPr>
            <w:r>
              <w:rPr>
                <w:color w:val="1E293B"/>
                <w:sz w:val="18"/>
              </w:rPr>
              <w:t>During monsoon, high-volume news reports full reservoir levels (FRL), opening of crest gates, or general municipal waterlogging without any structural distress.</w:t>
            </w:r>
          </w:p>
        </w:tc>
        <w:tc>
          <w:tcPr>
            <w:tcW w:type="dxa" w:w="3600"/>
            <w:shd w:fill="F8FAFC"/>
            <w:tcMar>
              <w:top w:w="100" w:type="dxa"/>
              <w:bottom w:w="100" w:type="dxa"/>
              <w:left w:w="120" w:type="dxa"/>
              <w:right w:w="120" w:type="dxa"/>
            </w:tcMar>
          </w:tcPr>
          <w:p>
            <w:pPr>
              <w:spacing w:after="0"/>
            </w:pPr>
            <w:r>
              <w:rPr>
                <w:color w:val="1E293B"/>
                <w:sz w:val="18"/>
              </w:rPr>
              <w:t>Failure keywords require explicit hazard terminology ('breach', 'crack', 'collapse', 'gate malfunction', 'inundation damage') rather than mere discharge statistics.</w:t>
            </w:r>
          </w:p>
        </w:tc>
      </w:tr>
      <w:tr>
        <w:tc>
          <w:tcPr>
            <w:tcW w:type="dxa" w:w="2592"/>
            <w:shd w:fill="FFFFFF"/>
            <w:tcMar>
              <w:top w:w="100" w:type="dxa"/>
              <w:bottom w:w="100" w:type="dxa"/>
              <w:left w:w="120" w:type="dxa"/>
              <w:right w:w="120" w:type="dxa"/>
            </w:tcMar>
          </w:tcPr>
          <w:p>
            <w:pPr>
              <w:spacing w:after="0"/>
            </w:pPr>
            <w:r>
              <w:rPr>
                <w:b/>
                <w:color w:val="0F2C59"/>
                <w:sz w:val="18"/>
              </w:rPr>
              <w:t>4. Publisher Paywalls &amp; Redirected Links</w:t>
            </w:r>
          </w:p>
        </w:tc>
        <w:tc>
          <w:tcPr>
            <w:tcW w:type="dxa" w:w="3600"/>
            <w:shd w:fill="FFFFFF"/>
            <w:tcMar>
              <w:top w:w="100" w:type="dxa"/>
              <w:bottom w:w="100" w:type="dxa"/>
              <w:left w:w="120" w:type="dxa"/>
              <w:right w:w="120" w:type="dxa"/>
            </w:tcMar>
          </w:tcPr>
          <w:p>
            <w:pPr>
              <w:spacing w:after="0"/>
            </w:pPr>
            <w:r>
              <w:rPr>
                <w:color w:val="1E293B"/>
                <w:sz w:val="18"/>
              </w:rPr>
              <w:t>Certain leading national and regional media outlets place content behind subscription paywalls or dynamic javascript readers.</w:t>
            </w:r>
          </w:p>
        </w:tc>
        <w:tc>
          <w:tcPr>
            <w:tcW w:type="dxa" w:w="3600"/>
            <w:shd w:fill="FFFFFF"/>
            <w:tcMar>
              <w:top w:w="100" w:type="dxa"/>
              <w:bottom w:w="100" w:type="dxa"/>
              <w:left w:w="120" w:type="dxa"/>
              <w:right w:w="120" w:type="dxa"/>
            </w:tcMar>
          </w:tcPr>
          <w:p>
            <w:pPr>
              <w:spacing w:after="0"/>
            </w:pPr>
            <w:r>
              <w:rPr>
                <w:color w:val="1E293B"/>
                <w:sz w:val="18"/>
              </w:rPr>
              <w:t>The portal displays complete article titles, published timestamps, sources, and snippets directly on the card so officers gain immediate situational context without navigating away.</w:t>
            </w:r>
          </w:p>
        </w:tc>
      </w:tr>
    </w:tbl>
    <w:p>
      <w:pPr>
        <w:spacing w:after="280"/>
      </w:pPr>
    </w:p>
    <w:p>
      <w:pPr>
        <w:pStyle w:val="Heading1"/>
        <w:spacing w:before="240" w:after="120"/>
      </w:pPr>
      <w:r>
        <w:rPr>
          <w:rFonts w:ascii="Calibri" w:hAnsi="Calibri"/>
          <w:b/>
          <w:color w:val="0F2C59"/>
          <w:sz w:val="30"/>
        </w:rPr>
        <w:t>4. Demo Video Recording Checklist for Presenter</w:t>
      </w:r>
    </w:p>
    <w:p>
      <w:pPr>
        <w:spacing w:after="60"/>
        <w:ind w:left="288"/>
      </w:pPr>
      <w:r>
        <w:rPr>
          <w:b/>
          <w:color w:val="0F2C59"/>
          <w:sz w:val="19"/>
        </w:rPr>
        <w:t xml:space="preserve">• Screen Resolution: </w:t>
      </w:r>
      <w:r>
        <w:rPr>
          <w:color w:val="1E293B"/>
          <w:sz w:val="19"/>
        </w:rPr>
        <w:t>Set monitor resolution to 1920x1080 (1080p) for crisp display on projector/monitors.</w:t>
      </w:r>
    </w:p>
    <w:p>
      <w:pPr>
        <w:spacing w:after="60"/>
        <w:ind w:left="288"/>
      </w:pPr>
      <w:r>
        <w:rPr>
          <w:b/>
          <w:color w:val="0F2C59"/>
          <w:sz w:val="19"/>
        </w:rPr>
        <w:t xml:space="preserve">• Browser Zoom Level: </w:t>
      </w:r>
      <w:r>
        <w:rPr>
          <w:color w:val="1E293B"/>
          <w:sz w:val="19"/>
        </w:rPr>
        <w:t>Set browser zoom to 100% or 110% so all headers and NRSD search fields are clearly readable.</w:t>
      </w:r>
    </w:p>
    <w:p>
      <w:pPr>
        <w:spacing w:after="60"/>
        <w:ind w:left="288"/>
      </w:pPr>
      <w:r>
        <w:rPr>
          <w:b/>
          <w:color w:val="0F2C59"/>
          <w:sz w:val="19"/>
        </w:rPr>
        <w:t xml:space="preserve">• Pre-searched Dam Example: </w:t>
      </w:r>
      <w:r>
        <w:rPr>
          <w:color w:val="1E293B"/>
          <w:sz w:val="19"/>
        </w:rPr>
        <w:t>Have 'Sardar Sarovar' or 'Tehri' pre-tested in the NRSD box to showcase the Salient Features popup instantly.</w:t>
      </w:r>
    </w:p>
    <w:p>
      <w:pPr>
        <w:spacing w:after="60"/>
        <w:ind w:left="288"/>
      </w:pPr>
      <w:r>
        <w:rPr>
          <w:b/>
          <w:color w:val="0F2C59"/>
          <w:sz w:val="19"/>
        </w:rPr>
        <w:t xml:space="preserve">• Audio Delivery: </w:t>
      </w:r>
      <w:r>
        <w:rPr>
          <w:color w:val="1E293B"/>
          <w:sz w:val="19"/>
        </w:rPr>
        <w:t>Maintain a steady, professional pace (~130 words/minute). Avoid rushing during the limitation explanation; transparent discussion of noise builds high trust with engineering authorities.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