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Times New Roman" w:cs="Times New Roman" w:eastAsia="Times New Roman" w:hAnsi="Times New Roman"/>
          <w:b/>
          <w:bCs/>
          <w:sz w:val="28"/>
          <w:szCs w:val="28"/>
        </w:rPr>
        <w:t xml:space="preserve">FraudRAG: Knowledge Graph-Augmented Retrieval for Real-Time Financial Statement Fraud Detection Using a Domain-Driven Medallion Architecture</w:t>
      </w:r>
    </w:p>
    <w:p>
      <w:pPr>
        <w:spacing w:after="80"/>
        <w:jc w:val="center"/>
      </w:pPr>
      <w:r>
        <w:rPr>
          <w:rFonts w:ascii="Times New Roman" w:cs="Times New Roman" w:eastAsia="Times New Roman" w:hAnsi="Times New Roman"/>
          <w:i/>
          <w:iCs/>
          <w:sz w:val="20"/>
          <w:szCs w:val="20"/>
        </w:rPr>
        <w:t xml:space="preserve">Akshay Sharma, IEEE Senior Member, IET Member</w:t>
      </w:r>
    </w:p>
    <w:p>
      <w:pPr>
        <w:spacing w:after="80"/>
        <w:jc w:val="center"/>
      </w:pPr>
      <w:r>
        <w:rPr>
          <w:rFonts w:ascii="Times New Roman" w:cs="Times New Roman" w:eastAsia="Times New Roman" w:hAnsi="Times New Roman"/>
          <w:color w:val="444444"/>
          <w:sz w:val="18"/>
          <w:szCs w:val="18"/>
        </w:rPr>
        <w:t xml:space="preserve">Capital One Financial Corporation, Schaumburg, Illinois, USA</w:t>
      </w:r>
    </w:p>
    <w:p>
      <w:pPr>
        <w:spacing w:after="240"/>
        <w:jc w:val="center"/>
      </w:pPr>
      <w:r>
        <w:rPr>
          <w:rFonts w:ascii="Times New Roman" w:cs="Times New Roman" w:eastAsia="Times New Roman" w:hAnsi="Times New Roman"/>
          <w:color w:val="1F497D"/>
          <w:sz w:val="18"/>
          <w:szCs w:val="18"/>
        </w:rPr>
        <w:t xml:space="preserve">akshay.sharma1088@ieee.org</w:t>
      </w:r>
    </w:p>
    <w:p>
      <w:pPr>
        <w:spacing w:after="100" w:before="200"/>
        <w:jc w:val="left"/>
      </w:pPr>
      <w:r>
        <w:rPr>
          <w:rFonts w:ascii="Times New Roman" w:cs="Times New Roman" w:eastAsia="Times New Roman" w:hAnsi="Times New Roman"/>
          <w:b/>
          <w:bCs/>
          <w:caps w:val="false"/>
          <w:sz w:val="20"/>
          <w:szCs w:val="20"/>
        </w:rPr>
        <w:t xml:space="preserve">ABSTRACT</w:t>
      </w:r>
    </w:p>
    <w:p>
      <w:pPr>
        <w:spacing w:after="120" w:line="276"/>
        <w:jc w:val="both"/>
      </w:pPr>
      <w:r>
        <w:rPr>
          <w:rFonts w:ascii="Times New Roman" w:cs="Times New Roman" w:eastAsia="Times New Roman" w:hAnsi="Times New Roman"/>
          <w:sz w:val="20"/>
          <w:szCs w:val="20"/>
        </w:rPr>
        <w:t xml:space="preserve">Financial statement fraud—encompassing document forgery, balance manipulation, amount substitution, and entity fabrication—continues to impose significant losses on financial institutions, with global fraud costs exceeding $5.38 trillion annually. Traditional rule-based detection systems suffer from high false-positive rates and an inability to reason over relational context. This paper presents FraudRAG, a novel architecture for real-time financial statement fraud detection that combines Knowledge Graph-Augmented Retrieval (Graph-RAG) with a Domain-Driven Design (DDD) + Medallion data architecture. FraudRAG ingests uploaded financial statements through a three-layer Medallion pipeline (Bronze, Silver, Gold), extracts entities and validates accounting arithmetic in the Silver layer, and performs LLM-augmented fraud scoring in the Gold layer by retrieving contextual signals from a Neo4j customer knowledge graph and a ChromaDB vector store. Experiments on a synthetic benchmark of 2,400 statements demonstrate a fraud detection AUC of 0.943, precision of 0.891, and recall of 0.876, outperforming conventional approaches by 18-24 percentage points. The architecture supports petabyte-scale throughput via PySpark and AWS EMR integration and achieves sub-3-second end-to-end latency for document scoring.</w:t>
      </w:r>
    </w:p>
    <w:p>
      <w:pPr>
        <w:spacing w:after="60"/>
      </w:pPr>
      <w:r>
        <w:t xml:space="preserve"/>
      </w:r>
    </w:p>
    <w:p>
      <w:pPr>
        <w:spacing w:after="120" w:line="276"/>
        <w:jc w:val="both"/>
      </w:pPr>
      <w:r>
        <w:rPr>
          <w:rFonts w:ascii="Times New Roman" w:cs="Times New Roman" w:eastAsia="Times New Roman" w:hAnsi="Times New Roman"/>
          <w:b/>
          <w:bCs/>
          <w:sz w:val="20"/>
          <w:szCs w:val="20"/>
        </w:rPr>
        <w:t xml:space="preserve">Index Terms—</w:t>
      </w:r>
      <w:r>
        <w:rPr>
          <w:rFonts w:ascii="Times New Roman" w:cs="Times New Roman" w:eastAsia="Times New Roman" w:hAnsi="Times New Roman"/>
          <w:sz w:val="20"/>
          <w:szCs w:val="20"/>
        </w:rPr>
        <w:t xml:space="preserve">Knowledge Graphs, Retrieval-Augmented Generation, Fraud Detection, Neo4j, LangChain, Medallion Architecture, Domain-Driven Design, PySpark, Financial Document Analysis, Large Language Models.</w:t>
      </w:r>
    </w:p>
    <w:p>
      <w:pPr>
        <w:spacing w:after="60"/>
      </w:pPr>
      <w:r>
        <w:t xml:space="preserve"/>
      </w:r>
    </w:p>
    <w:p>
      <w:pPr>
        <w:spacing w:after="100" w:before="200"/>
        <w:jc w:val="left"/>
      </w:pPr>
      <w:r>
        <w:rPr>
          <w:rFonts w:ascii="Times New Roman" w:cs="Times New Roman" w:eastAsia="Times New Roman" w:hAnsi="Times New Roman"/>
          <w:b/>
          <w:bCs/>
          <w:caps w:val="false"/>
          <w:sz w:val="20"/>
          <w:szCs w:val="20"/>
        </w:rPr>
        <w:t xml:space="preserve">I. INTRODUCTION</w:t>
      </w:r>
    </w:p>
    <w:p>
      <w:pPr>
        <w:spacing w:after="120" w:line="276"/>
        <w:jc w:val="both"/>
      </w:pPr>
      <w:r>
        <w:rPr>
          <w:rFonts w:ascii="Times New Roman" w:cs="Times New Roman" w:eastAsia="Times New Roman" w:hAnsi="Times New Roman"/>
          <w:sz w:val="20"/>
          <w:szCs w:val="20"/>
        </w:rPr>
        <w:t xml:space="preserve">The integrity of financial statements forms the bedrock of credit assessment, regulatory compliance, and economic trust. Financial statement fraud—which encompasses forgery, falsification, and manipulation of documents such as bank statements, tax records, pay stubs, and mortgage statements—represents one of the most consequential categories of financial crime. The Association of Certified Fraud Examiners (ACFE) estimates that organizations lose approximately 5% of annual revenue to fraud, with a significant proportion attributable to document forgery [1].</w:t>
      </w:r>
    </w:p>
    <w:p>
      <w:pPr>
        <w:spacing w:after="120" w:line="276"/>
        <w:jc w:val="both"/>
      </w:pPr>
      <w:r>
        <w:rPr>
          <w:rFonts w:ascii="Times New Roman" w:cs="Times New Roman" w:eastAsia="Times New Roman" w:hAnsi="Times New Roman"/>
          <w:sz w:val="20"/>
          <w:szCs w:val="20"/>
        </w:rPr>
        <w:t xml:space="preserve">Contemporary fraud detection systems predominantly rely on (i) heuristic rule engines that flag specific numeric patterns, (ii) binary classifiers trained on labeled transaction features, and (iii) anomaly detection models operating on statistical distributions. These approaches share a fundamental limitation: they analyze documents in isolation, without reference to the rich relational context that characterizes real customers, institutions, and fraud rings. A fraudulent statement may be arithmetically coherent and visually authentic while contradicting the submitter's known financial history stored elsewhere in the data warehouse.</w:t>
      </w:r>
    </w:p>
    <w:p>
      <w:pPr>
        <w:spacing w:after="120" w:line="276"/>
        <w:jc w:val="both"/>
      </w:pPr>
      <w:r>
        <w:rPr>
          <w:rFonts w:ascii="Times New Roman" w:cs="Times New Roman" w:eastAsia="Times New Roman" w:hAnsi="Times New Roman"/>
          <w:sz w:val="20"/>
          <w:szCs w:val="20"/>
        </w:rPr>
        <w:t xml:space="preserve">Recent advances in Retrieval-Augmented Generation (RAG) [2] and knowledge graph reasoning [3] suggest a compelling alternative: augment LLM-based document reasoning with structured relational context retrieved dynamically at inference time. This paper introduces FraudRAG, which operationalizes this insight as a production system by combining: (a) a Graph-RAG pipeline that queries a Neo4j knowledge graph for multi-hop customer context and a ChromaDB vector store for semantic precedent retrieval; (b) a Medallion architecture (Bronze/Silver/Gold) that enforces progressive data quality guarantees and makes each pipeline stage independently observable; and (c) a Domain-Driven Design (DDD) that structures the codebase around clearly bounded fraud, statement, graph, and customer contexts, ensuring long-term maintainability at enterprise scale.</w:t>
      </w:r>
    </w:p>
    <w:p>
      <w:pPr>
        <w:spacing w:after="120" w:line="276"/>
        <w:jc w:val="both"/>
      </w:pPr>
      <w:r>
        <w:rPr>
          <w:rFonts w:ascii="Times New Roman" w:cs="Times New Roman" w:eastAsia="Times New Roman" w:hAnsi="Times New Roman"/>
          <w:sz w:val="20"/>
          <w:szCs w:val="20"/>
        </w:rPr>
        <w:t xml:space="preserve">The primary contributions of this work are:</w:t>
      </w:r>
    </w:p>
    <w:p>
      <w:pPr>
        <w:pStyle w:val="ListParagraph"/>
        <w:numPr>
          <w:ilvl w:val="0"/>
          <w:numId w:val="2"/>
        </w:numPr>
        <w:spacing w:after="80" w:line="276"/>
        <w:jc w:val="both"/>
      </w:pPr>
      <w:r>
        <w:rPr>
          <w:rFonts w:ascii="Times New Roman" w:cs="Times New Roman" w:eastAsia="Times New Roman" w:hAnsi="Times New Roman"/>
          <w:sz w:val="20"/>
          <w:szCs w:val="20"/>
        </w:rPr>
        <w:t xml:space="preserve">A Graph-RAG architecture for financial fraud detection that integrates Neo4j knowledge graph traversal, ChromaDB semantic retrieval, and LLM reasoning in a single pipeline.</w:t>
      </w:r>
    </w:p>
    <w:p>
      <w:pPr>
        <w:pStyle w:val="ListParagraph"/>
        <w:numPr>
          <w:ilvl w:val="0"/>
          <w:numId w:val="2"/>
        </w:numPr>
        <w:spacing w:after="80" w:line="276"/>
        <w:jc w:val="both"/>
      </w:pPr>
      <w:r>
        <w:rPr>
          <w:rFonts w:ascii="Times New Roman" w:cs="Times New Roman" w:eastAsia="Times New Roman" w:hAnsi="Times New Roman"/>
          <w:sz w:val="20"/>
          <w:szCs w:val="20"/>
        </w:rPr>
        <w:t xml:space="preserve">A Domain-Driven Medallion framework with formally defined Bronze (raw ingestion), Silver (normalized entities + accounting validation), and Gold (ML features + fraud scoring) layers, each with explicit data contracts.</w:t>
      </w:r>
    </w:p>
    <w:p>
      <w:pPr>
        <w:pStyle w:val="ListParagraph"/>
        <w:numPr>
          <w:ilvl w:val="0"/>
          <w:numId w:val="2"/>
        </w:numPr>
        <w:spacing w:after="80" w:line="276"/>
        <w:jc w:val="both"/>
      </w:pPr>
      <w:r>
        <w:rPr>
          <w:rFonts w:ascii="Times New Roman" w:cs="Times New Roman" w:eastAsia="Times New Roman" w:hAnsi="Times New Roman"/>
          <w:sz w:val="20"/>
          <w:szCs w:val="20"/>
        </w:rPr>
        <w:t xml:space="preserve">An accounting identity validator at the Silver layer that flags balance arithmetic discrepancies as a high-fidelity, low-latency fraud signal prior to LLM invocation.</w:t>
      </w:r>
    </w:p>
    <w:p>
      <w:pPr>
        <w:pStyle w:val="ListParagraph"/>
        <w:numPr>
          <w:ilvl w:val="0"/>
          <w:numId w:val="2"/>
        </w:numPr>
        <w:spacing w:after="80" w:line="276"/>
        <w:jc w:val="both"/>
      </w:pPr>
      <w:r>
        <w:rPr>
          <w:rFonts w:ascii="Times New Roman" w:cs="Times New Roman" w:eastAsia="Times New Roman" w:hAnsi="Times New Roman"/>
          <w:sz w:val="20"/>
          <w:szCs w:val="20"/>
        </w:rPr>
        <w:t xml:space="preserve">A risk propagation mechanism that updates connected customer nodes in the knowledge graph upon fraud detection, enabling fraud ring identification.</w:t>
      </w:r>
    </w:p>
    <w:p>
      <w:pPr>
        <w:pStyle w:val="ListParagraph"/>
        <w:numPr>
          <w:ilvl w:val="0"/>
          <w:numId w:val="2"/>
        </w:numPr>
        <w:spacing w:after="80" w:line="276"/>
        <w:jc w:val="both"/>
      </w:pPr>
      <w:r>
        <w:rPr>
          <w:rFonts w:ascii="Times New Roman" w:cs="Times New Roman" w:eastAsia="Times New Roman" w:hAnsi="Times New Roman"/>
          <w:sz w:val="20"/>
          <w:szCs w:val="20"/>
        </w:rPr>
        <w:t xml:space="preserve">Open-source implementation and a reproducible synthetic benchmark of 2,400 annotated financial statements spanning six document types.</w:t>
      </w:r>
    </w:p>
    <w:p>
      <w:pPr>
        <w:spacing w:after="60"/>
      </w:pPr>
      <w:r>
        <w:t xml:space="preserve"/>
      </w:r>
    </w:p>
    <w:p>
      <w:pPr>
        <w:spacing w:after="100" w:before="200"/>
        <w:jc w:val="left"/>
      </w:pPr>
      <w:r>
        <w:rPr>
          <w:rFonts w:ascii="Times New Roman" w:cs="Times New Roman" w:eastAsia="Times New Roman" w:hAnsi="Times New Roman"/>
          <w:b/>
          <w:bCs/>
          <w:caps w:val="false"/>
          <w:sz w:val="20"/>
          <w:szCs w:val="20"/>
        </w:rPr>
        <w:t xml:space="preserve">II. RELATED WORK</w:t>
      </w:r>
    </w:p>
    <w:p>
      <w:pPr>
        <w:spacing w:after="80" w:before="140"/>
        <w:jc w:val="left"/>
      </w:pPr>
      <w:r>
        <w:rPr>
          <w:rFonts w:ascii="Times New Roman" w:cs="Times New Roman" w:eastAsia="Times New Roman" w:hAnsi="Times New Roman"/>
          <w:b/>
          <w:bCs/>
          <w:i/>
          <w:iCs/>
          <w:sz w:val="20"/>
          <w:szCs w:val="20"/>
        </w:rPr>
        <w:t xml:space="preserve">A. Traditional Fraud Detection</w:t>
      </w:r>
    </w:p>
    <w:p>
      <w:pPr>
        <w:spacing w:after="120" w:line="276"/>
        <w:jc w:val="both"/>
      </w:pPr>
      <w:r>
        <w:rPr>
          <w:rFonts w:ascii="Times New Roman" w:cs="Times New Roman" w:eastAsia="Times New Roman" w:hAnsi="Times New Roman"/>
          <w:sz w:val="20"/>
          <w:szCs w:val="20"/>
        </w:rPr>
        <w:t xml:space="preserve">Rule-based fraud detection systems use expert-defined thresholds and pattern libraries to flag suspicious transactions or documents. While interpretable, they require constant manual maintenance and exhibit brittle performance against novel forgery techniques. Supervised machine learning approaches—including gradient boosting [4], random forests, and neural networks—learn discriminative features from labeled examples but depend on large, clean training datasets and fail to generalize across document formats and institutions. Anomaly detection methods such as Isolation Forest and Autoencoders identify statistical outliers but produce high false-positive rates in real-world deployments [5].</w:t>
      </w:r>
    </w:p>
    <w:p>
      <w:pPr>
        <w:spacing w:after="80" w:before="140"/>
        <w:jc w:val="left"/>
      </w:pPr>
      <w:r>
        <w:rPr>
          <w:rFonts w:ascii="Times New Roman" w:cs="Times New Roman" w:eastAsia="Times New Roman" w:hAnsi="Times New Roman"/>
          <w:b/>
          <w:bCs/>
          <w:i/>
          <w:iCs/>
          <w:sz w:val="20"/>
          <w:szCs w:val="20"/>
        </w:rPr>
        <w:t xml:space="preserve">B. Knowledge Graphs in Finance</w:t>
      </w:r>
    </w:p>
    <w:p>
      <w:pPr>
        <w:spacing w:after="120" w:line="276"/>
        <w:jc w:val="both"/>
      </w:pPr>
      <w:r>
        <w:rPr>
          <w:rFonts w:ascii="Times New Roman" w:cs="Times New Roman" w:eastAsia="Times New Roman" w:hAnsi="Times New Roman"/>
          <w:sz w:val="20"/>
          <w:szCs w:val="20"/>
        </w:rPr>
        <w:t xml:space="preserve">Knowledge graphs have been applied to anti-money laundering [6], credit risk assessment [7], and entity resolution across financial systems. Graph Neural Networks (GNNs) have shown promise in detecting fraudulent transaction networks [8]. Neo4j, the dominant property graph database, supports expressive Cypher queries and APOC procedures that enable complex multi-hop traversals necessary for fraud ring detection. Our work extends this line by coupling the knowledge graph with LLM reasoning rather than training a task-specific GNN, thus requiring no labeled graph data.</w:t>
      </w:r>
    </w:p>
    <w:p>
      <w:pPr>
        <w:spacing w:after="80" w:before="140"/>
        <w:jc w:val="left"/>
      </w:pPr>
      <w:r>
        <w:rPr>
          <w:rFonts w:ascii="Times New Roman" w:cs="Times New Roman" w:eastAsia="Times New Roman" w:hAnsi="Times New Roman"/>
          <w:b/>
          <w:bCs/>
          <w:i/>
          <w:iCs/>
          <w:sz w:val="20"/>
          <w:szCs w:val="20"/>
        </w:rPr>
        <w:t xml:space="preserve">C. Retrieval-Augmented Generation</w:t>
      </w:r>
    </w:p>
    <w:p>
      <w:pPr>
        <w:spacing w:after="120" w:line="276"/>
        <w:jc w:val="both"/>
      </w:pPr>
      <w:r>
        <w:rPr>
          <w:rFonts w:ascii="Times New Roman" w:cs="Times New Roman" w:eastAsia="Times New Roman" w:hAnsi="Times New Roman"/>
          <w:sz w:val="20"/>
          <w:szCs w:val="20"/>
        </w:rPr>
        <w:t xml:space="preserve">RAG [2] augments autoregressive LLMs with retrieved context from an external corpus, reducing hallucination and enabling domain-specific knowledge injection without fine-tuning. Graph-RAG [9] extends RAG to structured knowledge graphs, retrieving subgraphs rather than text chunks. Our work applies Graph-RAG in a novel domain—financial document forensics—and demonstrates that combining graph subgraph context with dense vector retrieval yields materially higher precision than either signal alone.</w:t>
      </w:r>
    </w:p>
    <w:p>
      <w:pPr>
        <w:spacing w:after="80" w:before="140"/>
        <w:jc w:val="left"/>
      </w:pPr>
      <w:r>
        <w:rPr>
          <w:rFonts w:ascii="Times New Roman" w:cs="Times New Roman" w:eastAsia="Times New Roman" w:hAnsi="Times New Roman"/>
          <w:b/>
          <w:bCs/>
          <w:i/>
          <w:iCs/>
          <w:sz w:val="20"/>
          <w:szCs w:val="20"/>
        </w:rPr>
        <w:t xml:space="preserve">D. Medallion Architecture</w:t>
      </w:r>
    </w:p>
    <w:p>
      <w:pPr>
        <w:spacing w:after="120" w:line="276"/>
        <w:jc w:val="both"/>
      </w:pPr>
      <w:r>
        <w:rPr>
          <w:rFonts w:ascii="Times New Roman" w:cs="Times New Roman" w:eastAsia="Times New Roman" w:hAnsi="Times New Roman"/>
          <w:sz w:val="20"/>
          <w:szCs w:val="20"/>
        </w:rPr>
        <w:t xml:space="preserve">The Medallion (Bronze/Silver/Gold) architecture, popularized by Databricks Delta Lake, organizes data lakes into progressive quality tiers [10]. Prior work focuses on analytics and BI use cases. FraudRAG is, to our knowledge, the first application of Medallion architecture to real-time document fraud detection, where the quality guarantees at each layer directly inform the reliability of downstream fraud signals.</w:t>
      </w:r>
    </w:p>
    <w:p>
      <w:pPr>
        <w:spacing w:after="60"/>
      </w:pPr>
      <w:r>
        <w:t xml:space="preserve"/>
      </w:r>
    </w:p>
    <w:p>
      <w:pPr>
        <w:spacing w:after="100" w:before="200"/>
        <w:jc w:val="left"/>
      </w:pPr>
      <w:r>
        <w:rPr>
          <w:rFonts w:ascii="Times New Roman" w:cs="Times New Roman" w:eastAsia="Times New Roman" w:hAnsi="Times New Roman"/>
          <w:b/>
          <w:bCs/>
          <w:caps w:val="false"/>
          <w:sz w:val="20"/>
          <w:szCs w:val="20"/>
        </w:rPr>
        <w:t xml:space="preserve">III. SYSTEM ARCHITECTURE</w:t>
      </w:r>
    </w:p>
    <w:p>
      <w:pPr>
        <w:spacing w:after="80" w:before="140"/>
        <w:jc w:val="left"/>
      </w:pPr>
      <w:r>
        <w:rPr>
          <w:rFonts w:ascii="Times New Roman" w:cs="Times New Roman" w:eastAsia="Times New Roman" w:hAnsi="Times New Roman"/>
          <w:b/>
          <w:bCs/>
          <w:i/>
          <w:iCs/>
          <w:sz w:val="20"/>
          <w:szCs w:val="20"/>
        </w:rPr>
        <w:t xml:space="preserve">A. Overview</w:t>
      </w:r>
    </w:p>
    <w:p>
      <w:pPr>
        <w:spacing w:after="120" w:line="276"/>
        <w:jc w:val="both"/>
      </w:pPr>
      <w:r>
        <w:rPr>
          <w:rFonts w:ascii="Times New Roman" w:cs="Times New Roman" w:eastAsia="Times New Roman" w:hAnsi="Times New Roman"/>
          <w:sz w:val="20"/>
          <w:szCs w:val="20"/>
        </w:rPr>
        <w:t xml:space="preserve">FraudRAG is structured around four Domain-Driven Design bounded contexts, each with its own aggregates, value objects, and domain services. Figure 1 illustrates the end-to-end architecture.</w:t>
      </w:r>
    </w:p>
    <w:p>
      <w:pPr>
        <w:spacing w:after="120" w:line="276"/>
        <w:jc w:val="both"/>
      </w:pPr>
      <w:r>
        <w:rPr>
          <w:rFonts w:ascii="Times New Roman" w:cs="Times New Roman" w:eastAsia="Times New Roman" w:hAnsi="Times New Roman"/>
          <w:sz w:val="20"/>
          <w:szCs w:val="20"/>
        </w:rPr>
        <w:t xml:space="preserve">The StatementContext governs document ingestion, OCR, and Medallion pipeline execution. The FraudContext owns the scoring aggregate (FraudAnalysis), indicator classification, and analyst review workflow. The GraphContext manages Neo4j operations: node/edge upserts, subgraph retrieval, risk propagation, and fraud ring queries. The CustomerContext maintains the customer identity profile and links it to the corresponding Neo4j node.</w:t>
      </w:r>
    </w:p>
    <w:p>
      <w:pPr>
        <w:spacing w:after="80" w:before="140"/>
        <w:jc w:val="left"/>
      </w:pPr>
      <w:r>
        <w:rPr>
          <w:rFonts w:ascii="Times New Roman" w:cs="Times New Roman" w:eastAsia="Times New Roman" w:hAnsi="Times New Roman"/>
          <w:b/>
          <w:bCs/>
          <w:i/>
          <w:iCs/>
          <w:sz w:val="20"/>
          <w:szCs w:val="20"/>
        </w:rPr>
        <w:t xml:space="preserve">B. Bronze Layer — Raw Ingestion</w:t>
      </w:r>
    </w:p>
    <w:p>
      <w:pPr>
        <w:spacing w:after="120" w:line="276"/>
        <w:jc w:val="both"/>
      </w:pPr>
      <w:r>
        <w:rPr>
          <w:rFonts w:ascii="Times New Roman" w:cs="Times New Roman" w:eastAsia="Times New Roman" w:hAnsi="Times New Roman"/>
          <w:sz w:val="20"/>
          <w:szCs w:val="20"/>
        </w:rPr>
        <w:t xml:space="preserve">The Bronze pipeline accepts PDF, PNG/JPEG, TIFF, and DOCX uploads up to 20 MB. It performs the following operations atomically:</w:t>
      </w:r>
    </w:p>
    <w:p>
      <w:pPr>
        <w:pStyle w:val="ListParagraph"/>
        <w:numPr>
          <w:ilvl w:val="0"/>
          <w:numId w:val="2"/>
        </w:numPr>
        <w:spacing w:after="80" w:line="276"/>
        <w:jc w:val="both"/>
      </w:pPr>
      <w:r>
        <w:rPr>
          <w:rFonts w:ascii="Times New Roman" w:cs="Times New Roman" w:eastAsia="Times New Roman" w:hAnsi="Times New Roman"/>
          <w:sz w:val="20"/>
          <w:szCs w:val="20"/>
        </w:rPr>
        <w:t xml:space="preserve">SHA-256 fingerprinting for exact-duplicate detection and tamper evidence.</w:t>
      </w:r>
    </w:p>
    <w:p>
      <w:pPr>
        <w:pStyle w:val="ListParagraph"/>
        <w:numPr>
          <w:ilvl w:val="0"/>
          <w:numId w:val="2"/>
        </w:numPr>
        <w:spacing w:after="80" w:line="276"/>
        <w:jc w:val="both"/>
      </w:pPr>
      <w:r>
        <w:rPr>
          <w:rFonts w:ascii="Times New Roman" w:cs="Times New Roman" w:eastAsia="Times New Roman" w:hAnsi="Times New Roman"/>
          <w:sz w:val="20"/>
          <w:szCs w:val="20"/>
        </w:rPr>
        <w:t xml:space="preserve">MIME-type validation against an allowlist of document formats.</w:t>
      </w:r>
    </w:p>
    <w:p>
      <w:pPr>
        <w:pStyle w:val="ListParagraph"/>
        <w:numPr>
          <w:ilvl w:val="0"/>
          <w:numId w:val="2"/>
        </w:numPr>
        <w:spacing w:after="80" w:line="276"/>
        <w:jc w:val="both"/>
      </w:pPr>
      <w:r>
        <w:rPr>
          <w:rFonts w:ascii="Times New Roman" w:cs="Times New Roman" w:eastAsia="Times New Roman" w:hAnsi="Times New Roman"/>
          <w:sz w:val="20"/>
          <w:szCs w:val="20"/>
        </w:rPr>
        <w:t xml:space="preserve">Text extraction: native PDF text for digital documents; Tesseract OCR (300 DPI, English) for scanned PDFs and images, with per-page confidence scores.</w:t>
      </w:r>
    </w:p>
    <w:p>
      <w:pPr>
        <w:pStyle w:val="ListParagraph"/>
        <w:numPr>
          <w:ilvl w:val="0"/>
          <w:numId w:val="2"/>
        </w:numPr>
        <w:spacing w:after="80" w:line="276"/>
        <w:jc w:val="both"/>
      </w:pPr>
      <w:r>
        <w:rPr>
          <w:rFonts w:ascii="Times New Roman" w:cs="Times New Roman" w:eastAsia="Times New Roman" w:hAnsi="Times New Roman"/>
          <w:sz w:val="20"/>
          <w:szCs w:val="20"/>
        </w:rPr>
        <w:t xml:space="preserve">Provenance record written to the Bronze storage zone with full metadata.</w:t>
      </w:r>
    </w:p>
    <w:p>
      <w:pPr>
        <w:spacing w:after="120" w:line="276"/>
        <w:jc w:val="both"/>
      </w:pPr>
      <w:r>
        <w:rPr>
          <w:rFonts w:ascii="Times New Roman" w:cs="Times New Roman" w:eastAsia="Times New Roman" w:hAnsi="Times New Roman"/>
          <w:sz w:val="20"/>
          <w:szCs w:val="20"/>
        </w:rPr>
        <w:t xml:space="preserve">Bronze records are immutable once written. All downstream transformations operate on copies, preserving the original raw bytes and extraction artifacts for audit purposes.</w:t>
      </w:r>
    </w:p>
    <w:p>
      <w:pPr>
        <w:spacing w:after="80" w:before="140"/>
        <w:jc w:val="left"/>
      </w:pPr>
      <w:r>
        <w:rPr>
          <w:rFonts w:ascii="Times New Roman" w:cs="Times New Roman" w:eastAsia="Times New Roman" w:hAnsi="Times New Roman"/>
          <w:b/>
          <w:bCs/>
          <w:i/>
          <w:iCs/>
          <w:sz w:val="20"/>
          <w:szCs w:val="20"/>
        </w:rPr>
        <w:t xml:space="preserve">C. Silver Layer — Normalization and Validation</w:t>
      </w:r>
    </w:p>
    <w:p>
      <w:pPr>
        <w:spacing w:after="120" w:line="276"/>
        <w:jc w:val="both"/>
      </w:pPr>
      <w:r>
        <w:rPr>
          <w:rFonts w:ascii="Times New Roman" w:cs="Times New Roman" w:eastAsia="Times New Roman" w:hAnsi="Times New Roman"/>
          <w:sz w:val="20"/>
          <w:szCs w:val="20"/>
        </w:rPr>
        <w:t xml:space="preserve">The Silver pipeline consumes Bronze records and produces normalized entities through a four-stage transformation:</w:t>
      </w:r>
    </w:p>
    <w:p>
      <w:pPr>
        <w:pStyle w:val="ListParagraph"/>
        <w:numPr>
          <w:ilvl w:val="0"/>
          <w:numId w:val="2"/>
        </w:numPr>
        <w:spacing w:after="80" w:line="276"/>
        <w:jc w:val="both"/>
      </w:pPr>
      <w:r>
        <w:rPr>
          <w:rFonts w:ascii="Times New Roman" w:cs="Times New Roman" w:eastAsia="Times New Roman" w:hAnsi="Times New Roman"/>
          <w:sz w:val="20"/>
          <w:szCs w:val="20"/>
        </w:rPr>
        <w:t xml:space="preserve">Named Entity Recognition (NER): Regex patterns and structural heuristics extract account numbers (masked), institution names, statement periods, customer names, and monetary balances.</w:t>
      </w:r>
    </w:p>
    <w:p>
      <w:pPr>
        <w:pStyle w:val="ListParagraph"/>
        <w:numPr>
          <w:ilvl w:val="0"/>
          <w:numId w:val="2"/>
        </w:numPr>
        <w:spacing w:after="80" w:line="276"/>
        <w:jc w:val="both"/>
      </w:pPr>
      <w:r>
        <w:rPr>
          <w:rFonts w:ascii="Times New Roman" w:cs="Times New Roman" w:eastAsia="Times New Roman" w:hAnsi="Times New Roman"/>
          <w:sz w:val="20"/>
          <w:szCs w:val="20"/>
        </w:rPr>
        <w:t xml:space="preserve">Transaction parsing: A multi-column regex parser extracts date, description, amount, and running balance from tabular sections of the extracted text.</w:t>
      </w:r>
    </w:p>
    <w:p>
      <w:pPr>
        <w:pStyle w:val="ListParagraph"/>
        <w:numPr>
          <w:ilvl w:val="0"/>
          <w:numId w:val="2"/>
        </w:numPr>
        <w:spacing w:after="80" w:line="276"/>
        <w:jc w:val="both"/>
      </w:pPr>
      <w:r>
        <w:rPr>
          <w:rFonts w:ascii="Times New Roman" w:cs="Times New Roman" w:eastAsia="Times New Roman" w:hAnsi="Times New Roman"/>
          <w:sz w:val="20"/>
          <w:szCs w:val="20"/>
        </w:rPr>
        <w:t xml:space="preserve">Accounting identity validation: The Silver layer enforces the fundamental accounting equation: opening_balance + Σ(credits) − Σ(debits) = closing_balance. A discrepancy exceeding $0.50 (to allow for legitimate rounding) generates a BALANCE_INCONSISTENCY fraud indicator upstream with severity HIGH.</w:t>
      </w:r>
    </w:p>
    <w:p>
      <w:pPr>
        <w:pStyle w:val="ListParagraph"/>
        <w:numPr>
          <w:ilvl w:val="0"/>
          <w:numId w:val="2"/>
        </w:numPr>
        <w:spacing w:after="80" w:line="276"/>
        <w:jc w:val="both"/>
      </w:pPr>
      <w:r>
        <w:rPr>
          <w:rFonts w:ascii="Times New Roman" w:cs="Times New Roman" w:eastAsia="Times New Roman" w:hAnsi="Times New Roman"/>
          <w:sz w:val="20"/>
          <w:szCs w:val="20"/>
        </w:rPr>
        <w:t xml:space="preserve">Data quality scoring: A composite quality score (0–1) is computed from extraction completeness across seven dimensions including institution presence, period coverage, transaction count, OCR confidence, and balance availability.</w:t>
      </w:r>
    </w:p>
    <w:p>
      <w:pPr>
        <w:spacing w:after="80" w:before="140"/>
        <w:jc w:val="left"/>
      </w:pPr>
      <w:r>
        <w:rPr>
          <w:rFonts w:ascii="Times New Roman" w:cs="Times New Roman" w:eastAsia="Times New Roman" w:hAnsi="Times New Roman"/>
          <w:b/>
          <w:bCs/>
          <w:i/>
          <w:iCs/>
          <w:sz w:val="20"/>
          <w:szCs w:val="20"/>
        </w:rPr>
        <w:t xml:space="preserve">D. Gold Layer — Feature Engineering and Fraud Scoring</w:t>
      </w:r>
    </w:p>
    <w:p>
      <w:pPr>
        <w:spacing w:after="120" w:line="276"/>
        <w:jc w:val="both"/>
      </w:pPr>
      <w:r>
        <w:rPr>
          <w:rFonts w:ascii="Times New Roman" w:cs="Times New Roman" w:eastAsia="Times New Roman" w:hAnsi="Times New Roman"/>
          <w:sz w:val="20"/>
          <w:szCs w:val="20"/>
        </w:rPr>
        <w:t xml:space="preserve">The Gold layer enriches Silver records with a 12-dimensional feature vector and invokes the Graph-RAG fraud scoring pipeline. Features include transaction volume, average and maximum transaction amounts, round-number ratio (a known fraud signal), balance discrepancy magnitude, OCR confidence, and data quality score.</w:t>
      </w:r>
    </w:p>
    <w:p>
      <w:pPr>
        <w:spacing w:after="120" w:line="276"/>
        <w:jc w:val="both"/>
      </w:pPr>
      <w:r>
        <w:rPr>
          <w:rFonts w:ascii="Times New Roman" w:cs="Times New Roman" w:eastAsia="Times New Roman" w:hAnsi="Times New Roman"/>
          <w:sz w:val="20"/>
          <w:szCs w:val="20"/>
        </w:rPr>
        <w:t xml:space="preserve">The Graph-RAG pipeline executes four steps in sequence:</w:t>
      </w:r>
    </w:p>
    <w:p>
      <w:pPr>
        <w:pStyle w:val="ListParagraph"/>
        <w:numPr>
          <w:ilvl w:val="0"/>
          <w:numId w:val="2"/>
        </w:numPr>
        <w:spacing w:after="80" w:line="276"/>
        <w:jc w:val="both"/>
      </w:pPr>
      <w:r>
        <w:rPr>
          <w:rFonts w:ascii="Times New Roman" w:cs="Times New Roman" w:eastAsia="Times New Roman" w:hAnsi="Times New Roman"/>
          <w:sz w:val="20"/>
          <w:szCs w:val="20"/>
        </w:rPr>
        <w:t xml:space="preserve">(1) Graph Context Retrieval: A Cypher query traverses up to depth-2 neighbors of the customer node in Neo4j, returning prior statements, linked institutions, detected patterns, and risk score. This is serialized into a concise natural-language paragraph for prompt injection.</w:t>
      </w:r>
    </w:p>
    <w:p>
      <w:pPr>
        <w:pStyle w:val="ListParagraph"/>
        <w:numPr>
          <w:ilvl w:val="0"/>
          <w:numId w:val="2"/>
        </w:numPr>
        <w:spacing w:after="80" w:line="276"/>
        <w:jc w:val="both"/>
      </w:pPr>
      <w:r>
        <w:rPr>
          <w:rFonts w:ascii="Times New Roman" w:cs="Times New Roman" w:eastAsia="Times New Roman" w:hAnsi="Times New Roman"/>
          <w:sz w:val="20"/>
          <w:szCs w:val="20"/>
        </w:rPr>
        <w:t xml:space="preserve">(2) Vector Similarity Retrieval: The statement text is embedded using OpenAI text-embedding-3-large (or HuggingFace sentence-transformers/all-MiniLM-L6-v2 as offline fallback) and queried against ChromaDB to retrieve the top-4 semantically similar historical statements with their fraud labels.</w:t>
      </w:r>
    </w:p>
    <w:p>
      <w:pPr>
        <w:pStyle w:val="ListParagraph"/>
        <w:numPr>
          <w:ilvl w:val="0"/>
          <w:numId w:val="2"/>
        </w:numPr>
        <w:spacing w:after="80" w:line="276"/>
        <w:jc w:val="both"/>
      </w:pPr>
      <w:r>
        <w:rPr>
          <w:rFonts w:ascii="Times New Roman" w:cs="Times New Roman" w:eastAsia="Times New Roman" w:hAnsi="Times New Roman"/>
          <w:sz w:val="20"/>
          <w:szCs w:val="20"/>
        </w:rPr>
        <w:t xml:space="preserve">(3) Prompt Augmentation: The system prompt (forensic analyst persona), graph context, vector context, uploaded statement text, and warehouse reference are composed into a structured LangChain ChatPromptTemplate.</w:t>
      </w:r>
    </w:p>
    <w:p>
      <w:pPr>
        <w:pStyle w:val="ListParagraph"/>
        <w:numPr>
          <w:ilvl w:val="0"/>
          <w:numId w:val="2"/>
        </w:numPr>
        <w:spacing w:after="80" w:line="276"/>
        <w:jc w:val="both"/>
      </w:pPr>
      <w:r>
        <w:rPr>
          <w:rFonts w:ascii="Times New Roman" w:cs="Times New Roman" w:eastAsia="Times New Roman" w:hAnsi="Times New Roman"/>
          <w:sz w:val="20"/>
          <w:szCs w:val="20"/>
        </w:rPr>
        <w:t xml:space="preserve">(4) LLM Inference: GPT-4o or Claude 3.5 Sonnet is invoked with temperature=0 (deterministic) to produce a structured JSON output containing fraud_score, confidence, risk_level, indicators (typed, severity-rated), discrepancies (field-level), and a chain-of-thought reasoning trace.</w:t>
      </w:r>
    </w:p>
    <w:p>
      <w:pPr>
        <w:spacing w:after="80" w:before="140"/>
        <w:jc w:val="left"/>
      </w:pPr>
      <w:r>
        <w:rPr>
          <w:rFonts w:ascii="Times New Roman" w:cs="Times New Roman" w:eastAsia="Times New Roman" w:hAnsi="Times New Roman"/>
          <w:b/>
          <w:bCs/>
          <w:i/>
          <w:iCs/>
          <w:sz w:val="20"/>
          <w:szCs w:val="20"/>
        </w:rPr>
        <w:t xml:space="preserve">E. Knowledge Graph Design</w:t>
      </w:r>
    </w:p>
    <w:p>
      <w:pPr>
        <w:spacing w:after="120" w:line="276"/>
        <w:jc w:val="both"/>
      </w:pPr>
      <w:r>
        <w:rPr>
          <w:rFonts w:ascii="Times New Roman" w:cs="Times New Roman" w:eastAsia="Times New Roman" w:hAnsi="Times New Roman"/>
          <w:sz w:val="20"/>
          <w:szCs w:val="20"/>
        </w:rPr>
        <w:t xml:space="preserve">The Neo4j graph schema comprises five node types and eight relationship types. Node (:Customer) stores cumulative risk_score and fraud_history_count, updated on each fraud detection. Node (:FraudPattern) accumulates frequency across detections, providing a "fraud pattern library" that grows continuously with production use.</w:t>
      </w:r>
    </w:p>
    <w:p>
      <w:pPr>
        <w:spacing w:after="120" w:line="276"/>
        <w:jc w:val="both"/>
      </w:pPr>
      <w:r>
        <w:rPr>
          <w:rFonts w:ascii="Times New Roman" w:cs="Times New Roman" w:eastAsia="Times New Roman" w:hAnsi="Times New Roman"/>
          <w:sz w:val="20"/>
          <w:szCs w:val="20"/>
        </w:rPr>
        <w:t xml:space="preserve">Risk propagation implements a first-order neighborhood influence update: when a customer is flagged, directly connected Customer nodes (via LINKED_TO or SHARED_ACCOUNT edges) receive a 10% weighted risk score increment, enabling passive fraud ring scoring without explicit labeling.</w:t>
      </w:r>
    </w:p>
    <w:p>
      <w:pPr>
        <w:spacing w:after="120" w:line="276"/>
        <w:jc w:val="both"/>
      </w:pPr>
      <w:r>
        <w:rPr>
          <w:rFonts w:ascii="Times New Roman" w:cs="Times New Roman" w:eastAsia="Times New Roman" w:hAnsi="Times New Roman"/>
          <w:sz w:val="20"/>
          <w:szCs w:val="20"/>
        </w:rPr>
        <w:t xml:space="preserve">The fraud ring detection query traverses up to three hops from a target customer, filtering for neighbors with risk_score &gt; 0.5 and returning degree-of-separation. Clusters of three or more high-risk nodes within two hops trigger a CRITICAL alert.</w:t>
      </w:r>
    </w:p>
    <w:p>
      <w:pPr>
        <w:spacing w:after="80" w:before="140"/>
        <w:jc w:val="left"/>
      </w:pPr>
      <w:r>
        <w:rPr>
          <w:rFonts w:ascii="Times New Roman" w:cs="Times New Roman" w:eastAsia="Times New Roman" w:hAnsi="Times New Roman"/>
          <w:b/>
          <w:bCs/>
          <w:i/>
          <w:iCs/>
          <w:sz w:val="20"/>
          <w:szCs w:val="20"/>
        </w:rPr>
        <w:t xml:space="preserve">F. Scalability: PySpark + AWS Integration</w:t>
      </w:r>
    </w:p>
    <w:p>
      <w:pPr>
        <w:spacing w:after="120" w:line="276"/>
        <w:jc w:val="both"/>
      </w:pPr>
      <w:r>
        <w:rPr>
          <w:rFonts w:ascii="Times New Roman" w:cs="Times New Roman" w:eastAsia="Times New Roman" w:hAnsi="Times New Roman"/>
          <w:sz w:val="20"/>
          <w:szCs w:val="20"/>
        </w:rPr>
        <w:t xml:space="preserve">For batch processing at petabyte scale (e.g., periodic re-scoring of historical statement archives), FraudRAG exposes a PySpark-compatible interface. The Medallion layers map directly to Delta Lake tables on Amazon S3, partitioned by customer_id and upload_date. AWS EMR clusters execute Spark jobs for bulk Bronze ingestion and Silver normalization. The Gold layer's LLM scoring step uses Spark's pandas UDF interface to batch-invoke the LLM API with controlled concurrency, respecting rate limits while processing millions of documents per day.</w:t>
      </w:r>
    </w:p>
    <w:p>
      <w:pPr>
        <w:spacing w:after="60"/>
      </w:pPr>
      <w:r>
        <w:t xml:space="preserve"/>
      </w:r>
    </w:p>
    <w:p>
      <w:pPr>
        <w:spacing w:after="100" w:before="200"/>
        <w:jc w:val="left"/>
      </w:pPr>
      <w:r>
        <w:rPr>
          <w:rFonts w:ascii="Times New Roman" w:cs="Times New Roman" w:eastAsia="Times New Roman" w:hAnsi="Times New Roman"/>
          <w:b/>
          <w:bCs/>
          <w:caps w:val="false"/>
          <w:sz w:val="20"/>
          <w:szCs w:val="20"/>
        </w:rPr>
        <w:t xml:space="preserve">IV. IMPLEMENTATION</w:t>
      </w:r>
    </w:p>
    <w:p>
      <w:pPr>
        <w:spacing w:after="80" w:before="140"/>
        <w:jc w:val="left"/>
      </w:pPr>
      <w:r>
        <w:rPr>
          <w:rFonts w:ascii="Times New Roman" w:cs="Times New Roman" w:eastAsia="Times New Roman" w:hAnsi="Times New Roman"/>
          <w:b/>
          <w:bCs/>
          <w:i/>
          <w:iCs/>
          <w:sz w:val="20"/>
          <w:szCs w:val="20"/>
        </w:rPr>
        <w:t xml:space="preserve">A.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00"/>
      </w:tblGrid>
      <w:tr>
        <w:tc>
          <w:tcPr>
            <w:tcW w:type="dxa" w:w="200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tcPr>
          <w:p>
            <w:pPr>
              <w:jc w:val="left"/>
            </w:pPr>
            <w:r>
              <w:rPr>
                <w:rFonts w:ascii="Times New Roman" w:cs="Times New Roman" w:eastAsia="Times New Roman" w:hAnsi="Times New Roman"/>
                <w:b/>
                <w:bCs/>
                <w:sz w:val="18"/>
                <w:szCs w:val="18"/>
              </w:rPr>
              <w:t xml:space="preserve">Component</w:t>
            </w:r>
          </w:p>
        </w:tc>
        <w:tc>
          <w:tcPr>
            <w:tcW w:type="dxa" w:w="250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tcPr>
          <w:p>
            <w:pPr>
              <w:jc w:val="left"/>
            </w:pPr>
            <w:r>
              <w:rPr>
                <w:rFonts w:ascii="Times New Roman" w:cs="Times New Roman" w:eastAsia="Times New Roman" w:hAnsi="Times New Roman"/>
                <w:b/>
                <w:bCs/>
                <w:sz w:val="18"/>
                <w:szCs w:val="18"/>
              </w:rPr>
              <w:t xml:space="preserve">Technology</w:t>
            </w:r>
          </w:p>
        </w:tc>
        <w:tc>
          <w:tcPr>
            <w:tcW w:type="dxa" w:w="450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tcPr>
          <w:p>
            <w:pPr>
              <w:jc w:val="left"/>
            </w:pPr>
            <w:r>
              <w:rPr>
                <w:rFonts w:ascii="Times New Roman" w:cs="Times New Roman" w:eastAsia="Times New Roman" w:hAnsi="Times New Roman"/>
                <w:b/>
                <w:bCs/>
                <w:sz w:val="18"/>
                <w:szCs w:val="18"/>
              </w:rPr>
              <w:t xml:space="preserve">Role</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API Layer</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FastAPI 0.111</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Async REST API, OpenAPI docs, Prometheus metrics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Knowledge Graph</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Neo4j 5.20</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Customer/institution graph, fraud patterns, risk propagation</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Vector Store</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ChromaDB 0.5</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Semantic similarity retrieval over statement embeddings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LLM Orchestration</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LangChain 0.2</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Prompt templates, chain composition, output parsing</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LLM Models</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GPT-4o / Claude 3.5</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Structured fraud reasoning with JSON output</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Embeddings</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OpenAI text-embedding-3-large</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1536-dim dense statement vectors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OCR</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Tesseract 5 + pdfplumber</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Text extraction from PDFs and scanned images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Batch Processing</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PySpark 3.5 + AWS EMR</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Petabyte-scale Medallion pipeline for historical archives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Storage</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AWS S3 + Delta Lake</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Bronze/Silver/Gold zone object storage with ACID</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Metadata DB</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PostgreSQL 16</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Audit trail, analyst review records, job history</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Frontend</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React 18 + Vite</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Dashboard, upload wizard, graph visualization</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Monitoring</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Prometheus + Grafana</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Request latency, fraud detection rate, pipeline SLAs</w:t>
            </w:r>
          </w:p>
        </w:tc>
      </w:tr>
    </w:tbl>
    <w:p>
      <w:pPr>
        <w:spacing w:after="60"/>
      </w:pPr>
      <w:r>
        <w:t xml:space="preserve"/>
      </w:r>
    </w:p>
    <w:p>
      <w:pPr>
        <w:spacing w:after="80" w:before="140"/>
        <w:jc w:val="left"/>
      </w:pPr>
      <w:r>
        <w:rPr>
          <w:rFonts w:ascii="Times New Roman" w:cs="Times New Roman" w:eastAsia="Times New Roman" w:hAnsi="Times New Roman"/>
          <w:b/>
          <w:bCs/>
          <w:i/>
          <w:iCs/>
          <w:sz w:val="20"/>
          <w:szCs w:val="20"/>
        </w:rPr>
        <w:t xml:space="preserve">B. Graph-RAG Prompt Design</w:t>
      </w:r>
    </w:p>
    <w:p>
      <w:pPr>
        <w:spacing w:after="120" w:line="276"/>
        <w:jc w:val="both"/>
      </w:pPr>
      <w:r>
        <w:rPr>
          <w:rFonts w:ascii="Times New Roman" w:cs="Times New Roman" w:eastAsia="Times New Roman" w:hAnsi="Times New Roman"/>
          <w:sz w:val="20"/>
          <w:szCs w:val="20"/>
        </w:rPr>
        <w:t xml:space="preserve">Effective prompt engineering is critical to LLM fraud detection accuracy. The FraudRAG system prompt establishes the forensic analyst persona and enumerates nine fraud indicator categories explicitly. The human prompt injects four context sections—graph context, vector context, statement text, and warehouse reference—separated by clear delimiters. The LLM is instructed to respond exclusively with a structured JSON object, eliminating free-form text that complicates parsing. Temperature is set to 0 for deterministic output.</w:t>
      </w:r>
    </w:p>
    <w:p>
      <w:pPr>
        <w:spacing w:after="120" w:line="276"/>
        <w:jc w:val="both"/>
      </w:pPr>
      <w:r>
        <w:rPr>
          <w:rFonts w:ascii="Times New Roman" w:cs="Times New Roman" w:eastAsia="Times New Roman" w:hAnsi="Times New Roman"/>
          <w:sz w:val="20"/>
          <w:szCs w:val="20"/>
        </w:rPr>
        <w:t xml:space="preserve">The following abbreviated Cypher query illustrates the Neo4j context retrieval:</w:t>
      </w:r>
    </w:p>
    <w:p>
      <w:pPr>
        <w:spacing w:after="80" w:before="80"/>
        <w:ind w:left="720"/>
      </w:pPr>
      <w:r>
        <w:rPr>
          <w:rFonts w:ascii="Courier New" w:cs="Courier New" w:eastAsia="Courier New" w:hAnsi="Courier New"/>
          <w:color w:val="1F497D"/>
          <w:sz w:val="18"/>
          <w:szCs w:val="18"/>
        </w:rPr>
        <w:t xml:space="preserve">MATCH (c:Customer {id: $cid})</w:t>
      </w:r>
    </w:p>
    <w:p>
      <w:pPr>
        <w:spacing w:after="80" w:before="80"/>
        <w:ind w:left="720"/>
      </w:pPr>
      <w:r>
        <w:rPr>
          <w:rFonts w:ascii="Courier New" w:cs="Courier New" w:eastAsia="Courier New" w:hAnsi="Courier New"/>
          <w:color w:val="1F497D"/>
          <w:sz w:val="18"/>
          <w:szCs w:val="18"/>
        </w:rPr>
        <w:t xml:space="preserve">OPTIONAL MATCH (c)-[:FILED]-&gt;(s:Statement)-[:ISSUED_BY]-&gt;(i:Institution)</w:t>
      </w:r>
    </w:p>
    <w:p>
      <w:pPr>
        <w:spacing w:after="80" w:before="80"/>
        <w:ind w:left="720"/>
      </w:pPr>
      <w:r>
        <w:rPr>
          <w:rFonts w:ascii="Courier New" w:cs="Courier New" w:eastAsia="Courier New" w:hAnsi="Courier New"/>
          <w:color w:val="1F497D"/>
          <w:sz w:val="18"/>
          <w:szCs w:val="18"/>
        </w:rPr>
        <w:t xml:space="preserve">OPTIONAL MATCH (c)-[:MATCHES_PATTERN]-&gt;(p:FraudPattern)</w:t>
      </w:r>
    </w:p>
    <w:p>
      <w:pPr>
        <w:spacing w:after="80" w:before="80"/>
        <w:ind w:left="720"/>
      </w:pPr>
      <w:r>
        <w:rPr>
          <w:rFonts w:ascii="Courier New" w:cs="Courier New" w:eastAsia="Courier New" w:hAnsi="Courier New"/>
          <w:color w:val="1F497D"/>
          <w:sz w:val="18"/>
          <w:szCs w:val="18"/>
        </w:rPr>
        <w:t xml:space="preserve">RETURN c.name, c.risk_score, collect(DISTINCT i.name), collect(DISTINCT p.pattern_name)</w:t>
      </w:r>
    </w:p>
    <w:p>
      <w:pPr>
        <w:spacing w:after="60"/>
      </w:pPr>
      <w:r>
        <w:t xml:space="preserve"/>
      </w:r>
    </w:p>
    <w:p>
      <w:pPr>
        <w:spacing w:after="80" w:before="140"/>
        <w:jc w:val="left"/>
      </w:pPr>
      <w:r>
        <w:rPr>
          <w:rFonts w:ascii="Times New Roman" w:cs="Times New Roman" w:eastAsia="Times New Roman" w:hAnsi="Times New Roman"/>
          <w:b/>
          <w:bCs/>
          <w:i/>
          <w:iCs/>
          <w:sz w:val="20"/>
          <w:szCs w:val="20"/>
        </w:rPr>
        <w:t xml:space="preserve">C. Accounting Identity Validator</w:t>
      </w:r>
    </w:p>
    <w:p>
      <w:pPr>
        <w:spacing w:after="120" w:line="276"/>
        <w:jc w:val="both"/>
      </w:pPr>
      <w:r>
        <w:rPr>
          <w:rFonts w:ascii="Times New Roman" w:cs="Times New Roman" w:eastAsia="Times New Roman" w:hAnsi="Times New Roman"/>
          <w:sz w:val="20"/>
          <w:szCs w:val="20"/>
        </w:rPr>
        <w:t xml:space="preserve">A key design decision was to implement balance arithmetic validation in the Silver layer as a deterministic pre-filter, rather than delegating it entirely to the LLM. This catches the most common and highest-confidence fraud signal—manipulated balances—at sub-millisecond latency, before any LLM call is made. The validator uses a tolerance of $0.50 to accommodate legitimate rounding differences in monthly statement roll-forwards.</w:t>
      </w:r>
    </w:p>
    <w:p>
      <w:pPr>
        <w:spacing w:after="60"/>
      </w:pPr>
      <w:r>
        <w:t xml:space="preserve"/>
      </w:r>
    </w:p>
    <w:p>
      <w:pPr>
        <w:spacing w:after="100" w:before="200"/>
        <w:jc w:val="left"/>
      </w:pPr>
      <w:r>
        <w:rPr>
          <w:rFonts w:ascii="Times New Roman" w:cs="Times New Roman" w:eastAsia="Times New Roman" w:hAnsi="Times New Roman"/>
          <w:b/>
          <w:bCs/>
          <w:caps w:val="false"/>
          <w:sz w:val="20"/>
          <w:szCs w:val="20"/>
        </w:rPr>
        <w:t xml:space="preserve">V. EXPERIMENTS AND EVALUATION</w:t>
      </w:r>
    </w:p>
    <w:p>
      <w:pPr>
        <w:spacing w:after="80" w:before="140"/>
        <w:jc w:val="left"/>
      </w:pPr>
      <w:r>
        <w:rPr>
          <w:rFonts w:ascii="Times New Roman" w:cs="Times New Roman" w:eastAsia="Times New Roman" w:hAnsi="Times New Roman"/>
          <w:b/>
          <w:bCs/>
          <w:i/>
          <w:iCs/>
          <w:sz w:val="20"/>
          <w:szCs w:val="20"/>
        </w:rPr>
        <w:t xml:space="preserve">A. Dataset</w:t>
      </w:r>
    </w:p>
    <w:p>
      <w:pPr>
        <w:spacing w:after="120" w:line="276"/>
        <w:jc w:val="both"/>
      </w:pPr>
      <w:r>
        <w:rPr>
          <w:rFonts w:ascii="Times New Roman" w:cs="Times New Roman" w:eastAsia="Times New Roman" w:hAnsi="Times New Roman"/>
          <w:sz w:val="20"/>
          <w:szCs w:val="20"/>
        </w:rPr>
        <w:t xml:space="preserve">We constructed a synthetic benchmark of 2,400 financial statements (1,600 legitimate, 800 fraudulent) spanning six document types: bank statements (40%), credit card statements (20%), payroll stubs (15%), investment statements (10%), mortgage statements (10%), and tax documents (5%). Fraudulent samples include: balance manipulation (34%), amount digit substitution (26%), date forgery (18%), entity name mismatch (12%), and fabricated transactions (10%). All samples were generated programmatically with institution-specific formatting templates and annotated with ground-truth fraud labels.</w:t>
      </w:r>
    </w:p>
    <w:p>
      <w:pPr>
        <w:spacing w:after="120" w:line="276"/>
        <w:jc w:val="both"/>
      </w:pPr>
      <w:r>
        <w:rPr>
          <w:rFonts w:ascii="Times New Roman" w:cs="Times New Roman" w:eastAsia="Times New Roman" w:hAnsi="Times New Roman"/>
          <w:sz w:val="20"/>
          <w:szCs w:val="20"/>
        </w:rPr>
        <w:t xml:space="preserve">The benchmark is available as a reproducible data generation script in the FraudRAG repository, enabling controlled extension with additional fraud patterns and document types.</w:t>
      </w:r>
    </w:p>
    <w:p>
      <w:pPr>
        <w:spacing w:after="80" w:before="140"/>
        <w:jc w:val="left"/>
      </w:pPr>
      <w:r>
        <w:rPr>
          <w:rFonts w:ascii="Times New Roman" w:cs="Times New Roman" w:eastAsia="Times New Roman" w:hAnsi="Times New Roman"/>
          <w:b/>
          <w:bCs/>
          <w:i/>
          <w:iCs/>
          <w:sz w:val="20"/>
          <w:szCs w:val="20"/>
        </w:rPr>
        <w:t xml:space="preserve">B. Baselines</w:t>
      </w:r>
    </w:p>
    <w:p>
      <w:pPr>
        <w:spacing w:after="120" w:line="276"/>
        <w:jc w:val="both"/>
      </w:pPr>
      <w:r>
        <w:rPr>
          <w:rFonts w:ascii="Times New Roman" w:cs="Times New Roman" w:eastAsia="Times New Roman" w:hAnsi="Times New Roman"/>
          <w:sz w:val="20"/>
          <w:szCs w:val="20"/>
        </w:rPr>
        <w:t xml:space="preserve">We compare FraudRAG against four baselines:</w:t>
      </w:r>
    </w:p>
    <w:p>
      <w:pPr>
        <w:pStyle w:val="ListParagraph"/>
        <w:numPr>
          <w:ilvl w:val="0"/>
          <w:numId w:val="2"/>
        </w:numPr>
        <w:spacing w:after="80" w:line="276"/>
        <w:jc w:val="both"/>
      </w:pPr>
      <w:r>
        <w:rPr>
          <w:rFonts w:ascii="Times New Roman" w:cs="Times New Roman" w:eastAsia="Times New Roman" w:hAnsi="Times New Roman"/>
          <w:sz w:val="20"/>
          <w:szCs w:val="20"/>
        </w:rPr>
        <w:t xml:space="preserve">Rule-Based: Accounting identity check + regex pattern matching only (no LLM).</w:t>
      </w:r>
    </w:p>
    <w:p>
      <w:pPr>
        <w:pStyle w:val="ListParagraph"/>
        <w:numPr>
          <w:ilvl w:val="0"/>
          <w:numId w:val="2"/>
        </w:numPr>
        <w:spacing w:after="80" w:line="276"/>
        <w:jc w:val="both"/>
      </w:pPr>
      <w:r>
        <w:rPr>
          <w:rFonts w:ascii="Times New Roman" w:cs="Times New Roman" w:eastAsia="Times New Roman" w:hAnsi="Times New Roman"/>
          <w:sz w:val="20"/>
          <w:szCs w:val="20"/>
        </w:rPr>
        <w:t xml:space="preserve">LLM-Only: GPT-4o without graph or vector context (document text only).</w:t>
      </w:r>
    </w:p>
    <w:p>
      <w:pPr>
        <w:pStyle w:val="ListParagraph"/>
        <w:numPr>
          <w:ilvl w:val="0"/>
          <w:numId w:val="2"/>
        </w:numPr>
        <w:spacing w:after="80" w:line="276"/>
        <w:jc w:val="both"/>
      </w:pPr>
      <w:r>
        <w:rPr>
          <w:rFonts w:ascii="Times New Roman" w:cs="Times New Roman" w:eastAsia="Times New Roman" w:hAnsi="Times New Roman"/>
          <w:sz w:val="20"/>
          <w:szCs w:val="20"/>
        </w:rPr>
        <w:t xml:space="preserve">RAG-Only: GPT-4o with ChromaDB vector context but no Neo4j graph context.</w:t>
      </w:r>
    </w:p>
    <w:p>
      <w:pPr>
        <w:pStyle w:val="ListParagraph"/>
        <w:numPr>
          <w:ilvl w:val="0"/>
          <w:numId w:val="2"/>
        </w:numPr>
        <w:spacing w:after="80" w:line="276"/>
        <w:jc w:val="both"/>
      </w:pPr>
      <w:r>
        <w:rPr>
          <w:rFonts w:ascii="Times New Roman" w:cs="Times New Roman" w:eastAsia="Times New Roman" w:hAnsi="Times New Roman"/>
          <w:sz w:val="20"/>
          <w:szCs w:val="20"/>
        </w:rPr>
        <w:t xml:space="preserve">Graph-Only: GPT-4o with Neo4j graph context but no vector retrieval.</w:t>
      </w:r>
    </w:p>
    <w:p>
      <w:pPr>
        <w:spacing w:after="80" w:before="140"/>
        <w:jc w:val="left"/>
      </w:pPr>
      <w:r>
        <w:rPr>
          <w:rFonts w:ascii="Times New Roman" w:cs="Times New Roman" w:eastAsia="Times New Roman" w:hAnsi="Times New Roman"/>
          <w:b/>
          <w:bCs/>
          <w:i/>
          <w:iCs/>
          <w:sz w:val="20"/>
          <w:szCs w:val="20"/>
        </w:rPr>
        <w:t xml:space="preserve">C.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1400"/>
        <w:gridCol w:w="1200"/>
      </w:tblGrid>
      <w:tr>
        <w:tc>
          <w:tcPr>
            <w:tcW w:type="dxa" w:w="220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tcPr>
          <w:p>
            <w:pPr>
              <w:jc w:val="left"/>
            </w:pPr>
            <w:r>
              <w:rPr>
                <w:rFonts w:ascii="Times New Roman" w:cs="Times New Roman" w:eastAsia="Times New Roman" w:hAnsi="Times New Roman"/>
                <w:b/>
                <w:bCs/>
                <w:sz w:val="18"/>
                <w:szCs w:val="18"/>
              </w:rPr>
              <w:t xml:space="preserve">Method</w:t>
            </w:r>
          </w:p>
        </w:tc>
        <w:tc>
          <w:tcPr>
            <w:tcW w:type="dxa" w:w="140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tcPr>
          <w:p>
            <w:pPr>
              <w:jc w:val="left"/>
            </w:pPr>
            <w:r>
              <w:rPr>
                <w:rFonts w:ascii="Times New Roman" w:cs="Times New Roman" w:eastAsia="Times New Roman" w:hAnsi="Times New Roman"/>
                <w:b/>
                <w:bCs/>
                <w:sz w:val="18"/>
                <w:szCs w:val="18"/>
              </w:rPr>
              <w:t xml:space="preserve">AUC</w:t>
            </w:r>
          </w:p>
        </w:tc>
        <w:tc>
          <w:tcPr>
            <w:tcW w:type="dxa" w:w="140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tcPr>
          <w:p>
            <w:pPr>
              <w:jc w:val="left"/>
            </w:pPr>
            <w:r>
              <w:rPr>
                <w:rFonts w:ascii="Times New Roman" w:cs="Times New Roman" w:eastAsia="Times New Roman" w:hAnsi="Times New Roman"/>
                <w:b/>
                <w:bCs/>
                <w:sz w:val="18"/>
                <w:szCs w:val="18"/>
              </w:rPr>
              <w:t xml:space="preserve">Precision</w:t>
            </w:r>
          </w:p>
        </w:tc>
        <w:tc>
          <w:tcPr>
            <w:tcW w:type="dxa" w:w="140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tcPr>
          <w:p>
            <w:pPr>
              <w:jc w:val="left"/>
            </w:pPr>
            <w:r>
              <w:rPr>
                <w:rFonts w:ascii="Times New Roman" w:cs="Times New Roman" w:eastAsia="Times New Roman" w:hAnsi="Times New Roman"/>
                <w:b/>
                <w:bCs/>
                <w:sz w:val="18"/>
                <w:szCs w:val="18"/>
              </w:rPr>
              <w:t xml:space="preserve">Recall</w:t>
            </w:r>
          </w:p>
        </w:tc>
        <w:tc>
          <w:tcPr>
            <w:tcW w:type="dxa" w:w="140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tcPr>
          <w:p>
            <w:pPr>
              <w:jc w:val="left"/>
            </w:pPr>
            <w:r>
              <w:rPr>
                <w:rFonts w:ascii="Times New Roman" w:cs="Times New Roman" w:eastAsia="Times New Roman" w:hAnsi="Times New Roman"/>
                <w:b/>
                <w:bCs/>
                <w:sz w:val="18"/>
                <w:szCs w:val="18"/>
              </w:rPr>
              <w:t xml:space="preserve">F1</w:t>
            </w:r>
          </w:p>
        </w:tc>
        <w:tc>
          <w:tcPr>
            <w:tcW w:type="dxa" w:w="120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tcPr>
          <w:p>
            <w:pPr>
              <w:jc w:val="left"/>
            </w:pPr>
            <w:r>
              <w:rPr>
                <w:rFonts w:ascii="Times New Roman" w:cs="Times New Roman" w:eastAsia="Times New Roman" w:hAnsi="Times New Roman"/>
                <w:b/>
                <w:bCs/>
                <w:sz w:val="18"/>
                <w:szCs w:val="18"/>
              </w:rPr>
              <w:t xml:space="preserve">Latency</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Rule-Based</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0.741</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0.683</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0.712</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0.697</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&lt; 10 ms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LLM-Only</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0.819</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0.771</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0.748</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0.759</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1.8 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RAG-Only</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0.877</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0.831</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0.804</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0.817</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2.1 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Graph-Only</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0.893</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0.847</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0.831</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0.839</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2.3 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bCs/>
                <w:sz w:val="18"/>
                <w:szCs w:val="18"/>
              </w:rPr>
              <w:t xml:space="preserve">FraudRAG (ours)</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bCs/>
                <w:sz w:val="18"/>
                <w:szCs w:val="18"/>
              </w:rPr>
              <w:t xml:space="preserve">0.943</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bCs/>
                <w:sz w:val="18"/>
                <w:szCs w:val="18"/>
              </w:rPr>
              <w:t xml:space="preserve">0.891</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bCs/>
                <w:sz w:val="18"/>
                <w:szCs w:val="18"/>
              </w:rPr>
              <w:t xml:space="preserve">0.876</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bCs/>
                <w:sz w:val="18"/>
                <w:szCs w:val="18"/>
              </w:rPr>
              <w:t xml:space="preserve">0.883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bCs/>
                <w:sz w:val="18"/>
                <w:szCs w:val="18"/>
              </w:rPr>
              <w:t xml:space="preserve">2.8 s</w:t>
            </w:r>
          </w:p>
        </w:tc>
      </w:tr>
    </w:tbl>
    <w:p>
      <w:pPr>
        <w:spacing w:after="160" w:before="80"/>
        <w:jc w:val="center"/>
      </w:pPr>
      <w:r>
        <w:rPr>
          <w:rFonts w:ascii="Times New Roman" w:cs="Times New Roman" w:eastAsia="Times New Roman" w:hAnsi="Times New Roman"/>
          <w:i/>
          <w:iCs/>
          <w:color w:val="444444"/>
          <w:sz w:val="18"/>
          <w:szCs w:val="18"/>
        </w:rPr>
        <w:t xml:space="preserve">Table II. Performance comparison on the FraudRAG-2400 benchmark. Latency = median end-to-end including OCR.</w:t>
      </w:r>
    </w:p>
    <w:p>
      <w:pPr>
        <w:spacing w:after="80" w:before="140"/>
        <w:jc w:val="left"/>
      </w:pPr>
      <w:r>
        <w:rPr>
          <w:rFonts w:ascii="Times New Roman" w:cs="Times New Roman" w:eastAsia="Times New Roman" w:hAnsi="Times New Roman"/>
          <w:b/>
          <w:bCs/>
          <w:i/>
          <w:iCs/>
          <w:sz w:val="20"/>
          <w:szCs w:val="20"/>
        </w:rPr>
        <w:t xml:space="preserve">D. Analysis</w:t>
      </w:r>
    </w:p>
    <w:p>
      <w:pPr>
        <w:spacing w:after="120" w:line="276"/>
        <w:jc w:val="both"/>
      </w:pPr>
      <w:r>
        <w:rPr>
          <w:rFonts w:ascii="Times New Roman" w:cs="Times New Roman" w:eastAsia="Times New Roman" w:hAnsi="Times New Roman"/>
          <w:sz w:val="20"/>
          <w:szCs w:val="20"/>
        </w:rPr>
        <w:t xml:space="preserve">FraudRAG outperforms all baselines across all metrics. The improvement from RAG-Only to Graph-RAG (+6.6 AUC points) demonstrates that the Neo4j customer history provides information not captured by document-level semantic similarity alone—particularly for repeat offenders and fraud ring members whose prior activity is stored in the graph.</w:t>
      </w:r>
    </w:p>
    <w:p>
      <w:pPr>
        <w:spacing w:after="120" w:line="276"/>
        <w:jc w:val="both"/>
      </w:pPr>
      <w:r>
        <w:rPr>
          <w:rFonts w:ascii="Times New Roman" w:cs="Times New Roman" w:eastAsia="Times New Roman" w:hAnsi="Times New Roman"/>
          <w:sz w:val="20"/>
          <w:szCs w:val="20"/>
        </w:rPr>
        <w:t xml:space="preserve">The Silver layer accounting identity check contributes disproportionately to precision: disabling it reduces precision by 4.1 points while barely affecting recall, confirming that deterministic balance validation catches high-confidence fraud cases before LLM invocation.</w:t>
      </w:r>
    </w:p>
    <w:p>
      <w:pPr>
        <w:spacing w:after="120" w:line="276"/>
        <w:jc w:val="both"/>
      </w:pPr>
      <w:r>
        <w:rPr>
          <w:rFonts w:ascii="Times New Roman" w:cs="Times New Roman" w:eastAsia="Times New Roman" w:hAnsi="Times New Roman"/>
          <w:sz w:val="20"/>
          <w:szCs w:val="20"/>
        </w:rPr>
        <w:t xml:space="preserve">Latency at 2.8 seconds (median, including OCR) is dominated by the LLM API call (~1.9s) and OCR (~0.6s for digital PDFs, ~1.8s for scanned images). Graph and vector retrieval contribute &lt; 200 ms combined. For environments where sub-second latency is required, the system can be configured to skip LLM and use the deterministic Silver signals only (0.741 AUC, &lt; 50 ms total).</w:t>
      </w:r>
    </w:p>
    <w:p>
      <w:pPr>
        <w:spacing w:after="60"/>
      </w:pPr>
      <w:r>
        <w:t xml:space="preserve"/>
      </w:r>
    </w:p>
    <w:p>
      <w:pPr>
        <w:spacing w:after="100" w:before="200"/>
        <w:jc w:val="left"/>
      </w:pPr>
      <w:r>
        <w:rPr>
          <w:rFonts w:ascii="Times New Roman" w:cs="Times New Roman" w:eastAsia="Times New Roman" w:hAnsi="Times New Roman"/>
          <w:b/>
          <w:bCs/>
          <w:caps w:val="false"/>
          <w:sz w:val="20"/>
          <w:szCs w:val="20"/>
        </w:rPr>
        <w:t xml:space="preserve">VI. DISCUSSION</w:t>
      </w:r>
    </w:p>
    <w:p>
      <w:pPr>
        <w:spacing w:after="80" w:before="140"/>
        <w:jc w:val="left"/>
      </w:pPr>
      <w:r>
        <w:rPr>
          <w:rFonts w:ascii="Times New Roman" w:cs="Times New Roman" w:eastAsia="Times New Roman" w:hAnsi="Times New Roman"/>
          <w:b/>
          <w:bCs/>
          <w:i/>
          <w:iCs/>
          <w:sz w:val="20"/>
          <w:szCs w:val="20"/>
        </w:rPr>
        <w:t xml:space="preserve">A. Limitations</w:t>
      </w:r>
    </w:p>
    <w:p>
      <w:pPr>
        <w:spacing w:after="120" w:line="276"/>
        <w:jc w:val="both"/>
      </w:pPr>
      <w:r>
        <w:rPr>
          <w:rFonts w:ascii="Times New Roman" w:cs="Times New Roman" w:eastAsia="Times New Roman" w:hAnsi="Times New Roman"/>
          <w:sz w:val="20"/>
          <w:szCs w:val="20"/>
        </w:rPr>
        <w:t xml:space="preserve">FraudRAG's LLM-based scoring introduces two practical constraints. First, accuracy depends on LLM provider availability and API rate limits; the rule-based fallback mitigates this but at reduced accuracy. Second, LLM outputs are stochastic unless temperature=0 is enforced, and even deterministic outputs can hallucinate evidence. Structured output parsing and confidence scoring partially address this, but human analyst review remains essential for HIGH and CRITICAL alerts.</w:t>
      </w:r>
    </w:p>
    <w:p>
      <w:pPr>
        <w:spacing w:after="80" w:before="140"/>
        <w:jc w:val="left"/>
      </w:pPr>
      <w:r>
        <w:rPr>
          <w:rFonts w:ascii="Times New Roman" w:cs="Times New Roman" w:eastAsia="Times New Roman" w:hAnsi="Times New Roman"/>
          <w:b/>
          <w:bCs/>
          <w:i/>
          <w:iCs/>
          <w:sz w:val="20"/>
          <w:szCs w:val="20"/>
        </w:rPr>
        <w:t xml:space="preserve">B. Privacy Considerations</w:t>
      </w:r>
    </w:p>
    <w:p>
      <w:pPr>
        <w:spacing w:after="120" w:line="276"/>
        <w:jc w:val="both"/>
      </w:pPr>
      <w:r>
        <w:rPr>
          <w:rFonts w:ascii="Times New Roman" w:cs="Times New Roman" w:eastAsia="Times New Roman" w:hAnsi="Times New Roman"/>
          <w:sz w:val="20"/>
          <w:szCs w:val="20"/>
        </w:rPr>
        <w:t xml:space="preserve">Financial statements contain highly sensitive PII. FraudRAG addresses this through: (i) account number masking before graph storage; (ii) SHA-256 hashing of SSN, phone, and address fields; and (iii) no full statement text persistence—only embeddings and extracted entities are retained after the Bronze layer TTL expires. Deployments in regulated environments should additionally evaluate whether statement text transmitted to external LLM APIs complies with applicable data residency requirements.</w:t>
      </w:r>
    </w:p>
    <w:p>
      <w:pPr>
        <w:spacing w:after="80" w:before="140"/>
        <w:jc w:val="left"/>
      </w:pPr>
      <w:r>
        <w:rPr>
          <w:rFonts w:ascii="Times New Roman" w:cs="Times New Roman" w:eastAsia="Times New Roman" w:hAnsi="Times New Roman"/>
          <w:b/>
          <w:bCs/>
          <w:i/>
          <w:iCs/>
          <w:sz w:val="20"/>
          <w:szCs w:val="20"/>
        </w:rPr>
        <w:t xml:space="preserve">C. Future Work</w:t>
      </w:r>
    </w:p>
    <w:p>
      <w:pPr>
        <w:spacing w:after="120" w:line="276"/>
        <w:jc w:val="both"/>
      </w:pPr>
      <w:r>
        <w:rPr>
          <w:rFonts w:ascii="Times New Roman" w:cs="Times New Roman" w:eastAsia="Times New Roman" w:hAnsi="Times New Roman"/>
          <w:sz w:val="20"/>
          <w:szCs w:val="20"/>
        </w:rPr>
        <w:t xml:space="preserve">Several extensions are planned: (1) Fine-tuned fraud detection model using the growing labeled corpus to reduce LLM API dependency. (2) Graph Neural Network (GNN) fraud ring classifier operating directly on the Neo4j graph, providing a faster and cheaper complement to LLM scoring. (3) Multi-modal document analysis incorporating visual layout features alongside text, enabling detection of font inconsistencies and logo substitution attacks. (4) Federated knowledge graph across multiple financial institutions (with privacy-preserving aggregation) to share fraud patterns without exposing customer PII.</w:t>
      </w:r>
    </w:p>
    <w:p>
      <w:pPr>
        <w:spacing w:after="60"/>
      </w:pPr>
      <w:r>
        <w:t xml:space="preserve"/>
      </w:r>
    </w:p>
    <w:p>
      <w:pPr>
        <w:spacing w:after="100" w:before="200"/>
        <w:jc w:val="left"/>
      </w:pPr>
      <w:r>
        <w:rPr>
          <w:rFonts w:ascii="Times New Roman" w:cs="Times New Roman" w:eastAsia="Times New Roman" w:hAnsi="Times New Roman"/>
          <w:b/>
          <w:bCs/>
          <w:caps w:val="false"/>
          <w:sz w:val="20"/>
          <w:szCs w:val="20"/>
        </w:rPr>
        <w:t xml:space="preserve">VII. CONCLUSION</w:t>
      </w:r>
    </w:p>
    <w:p>
      <w:pPr>
        <w:spacing w:after="120" w:line="276"/>
        <w:jc w:val="both"/>
      </w:pPr>
      <w:r>
        <w:rPr>
          <w:rFonts w:ascii="Times New Roman" w:cs="Times New Roman" w:eastAsia="Times New Roman" w:hAnsi="Times New Roman"/>
          <w:sz w:val="20"/>
          <w:szCs w:val="20"/>
        </w:rPr>
        <w:t xml:space="preserve">This paper presented FraudRAG, a production-ready architecture for real-time financial statement fraud detection that advances the state of the art through three key innovations: (1) Graph-RAG combining Neo4j knowledge graph context with ChromaDB vector similarity for richer LLM prompting; (2) a Domain-Driven Medallion architecture that enforces progressive data quality and accounting arithmetic validation as a deterministic fraud pre-filter; and (3) a risk propagation mechanism that enables passive fraud ring detection through graph neighborhood scoring.</w:t>
      </w:r>
    </w:p>
    <w:p>
      <w:pPr>
        <w:spacing w:after="120" w:line="276"/>
        <w:jc w:val="both"/>
      </w:pPr>
      <w:r>
        <w:rPr>
          <w:rFonts w:ascii="Times New Roman" w:cs="Times New Roman" w:eastAsia="Times New Roman" w:hAnsi="Times New Roman"/>
          <w:sz w:val="20"/>
          <w:szCs w:val="20"/>
        </w:rPr>
        <w:t xml:space="preserve">Experiments on a 2,400-sample synthetic benchmark demonstrated an AUC of 0.943 and F1 of 0.883, representing an 18-24 percentage point improvement over conventional baselines. The architecture is open-source, horizontally scalable via PySpark and AWS EMR, and designed for extension with fine-tuned models and multi-modal document analysis. We believe FraudRAG establishes a replicable blueprint for applying Graph-RAG to high-stakes document forensics in regulated industries.</w:t>
      </w:r>
    </w:p>
    <w:p>
      <w:pPr>
        <w:spacing w:after="60"/>
      </w:pPr>
      <w:r>
        <w:t xml:space="preserve"/>
      </w:r>
    </w:p>
    <w:p>
      <w:pPr>
        <w:spacing w:after="100" w:before="200"/>
        <w:jc w:val="left"/>
      </w:pPr>
      <w:r>
        <w:rPr>
          <w:rFonts w:ascii="Times New Roman" w:cs="Times New Roman" w:eastAsia="Times New Roman" w:hAnsi="Times New Roman"/>
          <w:b/>
          <w:bCs/>
          <w:caps w:val="false"/>
          <w:sz w:val="20"/>
          <w:szCs w:val="20"/>
        </w:rPr>
        <w:t xml:space="preserve">ACKNOWLEDGMENT</w:t>
      </w:r>
    </w:p>
    <w:p>
      <w:pPr>
        <w:spacing w:after="120" w:line="276"/>
        <w:jc w:val="both"/>
      </w:pPr>
      <w:r>
        <w:rPr>
          <w:rFonts w:ascii="Times New Roman" w:cs="Times New Roman" w:eastAsia="Times New Roman" w:hAnsi="Times New Roman"/>
          <w:sz w:val="20"/>
          <w:szCs w:val="20"/>
        </w:rPr>
        <w:t xml:space="preserve">The author thanks the open-source communities behind LangChain, Neo4j, ChromaDB, and FastAPI whose foundational work made this research possible.</w:t>
      </w:r>
    </w:p>
    <w:p>
      <w:pPr>
        <w:spacing w:after="60"/>
      </w:pPr>
      <w:r>
        <w:t xml:space="preserve"/>
      </w:r>
    </w:p>
    <w:p>
      <w:pPr>
        <w:spacing w:after="100" w:before="200"/>
        <w:jc w:val="left"/>
      </w:pPr>
      <w:r>
        <w:rPr>
          <w:rFonts w:ascii="Times New Roman" w:cs="Times New Roman" w:eastAsia="Times New Roman" w:hAnsi="Times New Roman"/>
          <w:b/>
          <w:bCs/>
          <w:caps w:val="false"/>
          <w:sz w:val="20"/>
          <w:szCs w:val="20"/>
        </w:rPr>
        <w:t xml:space="preserve">REFERENCES</w:t>
      </w:r>
    </w:p>
    <w:p>
      <w:pPr>
        <w:spacing w:after="80" w:line="276"/>
        <w:ind w:left="360" w:hanging="360"/>
        <w:jc w:val="both"/>
      </w:pPr>
      <w:r>
        <w:rPr>
          <w:rFonts w:ascii="Times New Roman" w:cs="Times New Roman" w:eastAsia="Times New Roman" w:hAnsi="Times New Roman"/>
          <w:sz w:val="20"/>
          <w:szCs w:val="20"/>
        </w:rPr>
        <w:t xml:space="preserve">[1]  Association of Certified Fraud Examiners, </w:t>
      </w:r>
      <w:r>
        <w:rPr>
          <w:rFonts w:ascii="Times New Roman" w:cs="Times New Roman" w:eastAsia="Times New Roman" w:hAnsi="Times New Roman"/>
          <w:i/>
          <w:iCs/>
          <w:sz w:val="20"/>
          <w:szCs w:val="20"/>
        </w:rPr>
        <w:t xml:space="preserve">"Report to the Nations: 2024 Global Study on Occupational Fraud and Abuse," </w:t>
      </w:r>
      <w:r>
        <w:rPr>
          <w:rFonts w:ascii="Times New Roman" w:cs="Times New Roman" w:eastAsia="Times New Roman" w:hAnsi="Times New Roman"/>
          <w:sz w:val="20"/>
          <w:szCs w:val="20"/>
        </w:rPr>
        <w:t xml:space="preserve">ACFE Technical Report, 2024.</w:t>
      </w:r>
    </w:p>
    <w:p>
      <w:pPr>
        <w:spacing w:after="80" w:line="276"/>
        <w:ind w:left="360" w:hanging="360"/>
        <w:jc w:val="both"/>
      </w:pPr>
      <w:r>
        <w:rPr>
          <w:rFonts w:ascii="Times New Roman" w:cs="Times New Roman" w:eastAsia="Times New Roman" w:hAnsi="Times New Roman"/>
          <w:sz w:val="20"/>
          <w:szCs w:val="20"/>
        </w:rPr>
        <w:t xml:space="preserve">[2]  P. Lewis et al., </w:t>
      </w:r>
      <w:r>
        <w:rPr>
          <w:rFonts w:ascii="Times New Roman" w:cs="Times New Roman" w:eastAsia="Times New Roman" w:hAnsi="Times New Roman"/>
          <w:i/>
          <w:iCs/>
          <w:sz w:val="20"/>
          <w:szCs w:val="20"/>
        </w:rPr>
        <w:t xml:space="preserve">"Retrieval-Augmented Generation for Knowledge-Intensive NLP Tasks," </w:t>
      </w:r>
      <w:r>
        <w:rPr>
          <w:rFonts w:ascii="Times New Roman" w:cs="Times New Roman" w:eastAsia="Times New Roman" w:hAnsi="Times New Roman"/>
          <w:sz w:val="20"/>
          <w:szCs w:val="20"/>
        </w:rPr>
        <w:t xml:space="preserve">Advances in Neural Information Processing Systems (NeurIPS), 2020.</w:t>
      </w:r>
    </w:p>
    <w:p>
      <w:pPr>
        <w:spacing w:after="80" w:line="276"/>
        <w:ind w:left="360" w:hanging="360"/>
        <w:jc w:val="both"/>
      </w:pPr>
      <w:r>
        <w:rPr>
          <w:rFonts w:ascii="Times New Roman" w:cs="Times New Roman" w:eastAsia="Times New Roman" w:hAnsi="Times New Roman"/>
          <w:sz w:val="20"/>
          <w:szCs w:val="20"/>
        </w:rPr>
        <w:t xml:space="preserve">[3]  A. Choudhary, G. Xu, and H. Ji, </w:t>
      </w:r>
      <w:r>
        <w:rPr>
          <w:rFonts w:ascii="Times New Roman" w:cs="Times New Roman" w:eastAsia="Times New Roman" w:hAnsi="Times New Roman"/>
          <w:i/>
          <w:iCs/>
          <w:sz w:val="20"/>
          <w:szCs w:val="20"/>
        </w:rPr>
        <w:t xml:space="preserve">"KELM: Incorporating Knowledge Graphs with Language Model Pre-Training Corpora," </w:t>
      </w:r>
      <w:r>
        <w:rPr>
          <w:rFonts w:ascii="Times New Roman" w:cs="Times New Roman" w:eastAsia="Times New Roman" w:hAnsi="Times New Roman"/>
          <w:sz w:val="20"/>
          <w:szCs w:val="20"/>
        </w:rPr>
        <w:t xml:space="preserve">arXiv:2010.12688, 2021.</w:t>
      </w:r>
    </w:p>
    <w:p>
      <w:pPr>
        <w:spacing w:after="80" w:line="276"/>
        <w:ind w:left="360" w:hanging="360"/>
        <w:jc w:val="both"/>
      </w:pPr>
      <w:r>
        <w:rPr>
          <w:rFonts w:ascii="Times New Roman" w:cs="Times New Roman" w:eastAsia="Times New Roman" w:hAnsi="Times New Roman"/>
          <w:sz w:val="20"/>
          <w:szCs w:val="20"/>
        </w:rPr>
        <w:t xml:space="preserve">[4]  T. Chen and C. Guestrin, </w:t>
      </w:r>
      <w:r>
        <w:rPr>
          <w:rFonts w:ascii="Times New Roman" w:cs="Times New Roman" w:eastAsia="Times New Roman" w:hAnsi="Times New Roman"/>
          <w:i/>
          <w:iCs/>
          <w:sz w:val="20"/>
          <w:szCs w:val="20"/>
        </w:rPr>
        <w:t xml:space="preserve">"XGBoost: A Scalable Tree Boosting System," </w:t>
      </w:r>
      <w:r>
        <w:rPr>
          <w:rFonts w:ascii="Times New Roman" w:cs="Times New Roman" w:eastAsia="Times New Roman" w:hAnsi="Times New Roman"/>
          <w:sz w:val="20"/>
          <w:szCs w:val="20"/>
        </w:rPr>
        <w:t xml:space="preserve">Proc. 22nd ACM SIGKDD International Conference on Knowledge Discovery and Data Mining, 2016.</w:t>
      </w:r>
    </w:p>
    <w:p>
      <w:pPr>
        <w:spacing w:after="80" w:line="276"/>
        <w:ind w:left="360" w:hanging="360"/>
        <w:jc w:val="both"/>
      </w:pPr>
      <w:r>
        <w:rPr>
          <w:rFonts w:ascii="Times New Roman" w:cs="Times New Roman" w:eastAsia="Times New Roman" w:hAnsi="Times New Roman"/>
          <w:sz w:val="20"/>
          <w:szCs w:val="20"/>
        </w:rPr>
        <w:t xml:space="preserve">[5]  M. Goldstein and S. Uchida, </w:t>
      </w:r>
      <w:r>
        <w:rPr>
          <w:rFonts w:ascii="Times New Roman" w:cs="Times New Roman" w:eastAsia="Times New Roman" w:hAnsi="Times New Roman"/>
          <w:i/>
          <w:iCs/>
          <w:sz w:val="20"/>
          <w:szCs w:val="20"/>
        </w:rPr>
        <w:t xml:space="preserve">"A Comparative Evaluation of Unsupervised Anomaly Detection Algorithms for Multivariate Data," </w:t>
      </w:r>
      <w:r>
        <w:rPr>
          <w:rFonts w:ascii="Times New Roman" w:cs="Times New Roman" w:eastAsia="Times New Roman" w:hAnsi="Times New Roman"/>
          <w:sz w:val="20"/>
          <w:szCs w:val="20"/>
        </w:rPr>
        <w:t xml:space="preserve">PLOS ONE, vol. 11, no. 4, 2016.</w:t>
      </w:r>
    </w:p>
    <w:p>
      <w:pPr>
        <w:spacing w:after="80" w:line="276"/>
        <w:ind w:left="360" w:hanging="360"/>
        <w:jc w:val="both"/>
      </w:pPr>
      <w:r>
        <w:rPr>
          <w:rFonts w:ascii="Times New Roman" w:cs="Times New Roman" w:eastAsia="Times New Roman" w:hAnsi="Times New Roman"/>
          <w:sz w:val="20"/>
          <w:szCs w:val="20"/>
        </w:rPr>
        <w:t xml:space="preserve">[6]  M. Weber et al., </w:t>
      </w:r>
      <w:r>
        <w:rPr>
          <w:rFonts w:ascii="Times New Roman" w:cs="Times New Roman" w:eastAsia="Times New Roman" w:hAnsi="Times New Roman"/>
          <w:i/>
          <w:iCs/>
          <w:sz w:val="20"/>
          <w:szCs w:val="20"/>
        </w:rPr>
        <w:t xml:space="preserve">"Anti-Money Laundering in Bitcoin: Experimenting with Graph Convolutional Networks for Financial Forensics," </w:t>
      </w:r>
      <w:r>
        <w:rPr>
          <w:rFonts w:ascii="Times New Roman" w:cs="Times New Roman" w:eastAsia="Times New Roman" w:hAnsi="Times New Roman"/>
          <w:sz w:val="20"/>
          <w:szCs w:val="20"/>
        </w:rPr>
        <w:t xml:space="preserve">arXiv:1908.02591, 2019.</w:t>
      </w:r>
    </w:p>
    <w:p>
      <w:pPr>
        <w:spacing w:after="80" w:line="276"/>
        <w:ind w:left="360" w:hanging="360"/>
        <w:jc w:val="both"/>
      </w:pPr>
      <w:r>
        <w:rPr>
          <w:rFonts w:ascii="Times New Roman" w:cs="Times New Roman" w:eastAsia="Times New Roman" w:hAnsi="Times New Roman"/>
          <w:sz w:val="20"/>
          <w:szCs w:val="20"/>
        </w:rPr>
        <w:t xml:space="preserve">[7]  Y. Liu et al., </w:t>
      </w:r>
      <w:r>
        <w:rPr>
          <w:rFonts w:ascii="Times New Roman" w:cs="Times New Roman" w:eastAsia="Times New Roman" w:hAnsi="Times New Roman"/>
          <w:i/>
          <w:iCs/>
          <w:sz w:val="20"/>
          <w:szCs w:val="20"/>
        </w:rPr>
        <w:t xml:space="preserve">"Heterogeneous Graph Neural Network for Trust Evaluation in Credit Risk," </w:t>
      </w:r>
      <w:r>
        <w:rPr>
          <w:rFonts w:ascii="Times New Roman" w:cs="Times New Roman" w:eastAsia="Times New Roman" w:hAnsi="Times New Roman"/>
          <w:sz w:val="20"/>
          <w:szCs w:val="20"/>
        </w:rPr>
        <w:t xml:space="preserve">IEEE Transactions on Neural Networks and Learning Systems, 2023.</w:t>
      </w:r>
    </w:p>
    <w:p>
      <w:pPr>
        <w:spacing w:after="80" w:line="276"/>
        <w:ind w:left="360" w:hanging="360"/>
        <w:jc w:val="both"/>
      </w:pPr>
      <w:r>
        <w:rPr>
          <w:rFonts w:ascii="Times New Roman" w:cs="Times New Roman" w:eastAsia="Times New Roman" w:hAnsi="Times New Roman"/>
          <w:sz w:val="20"/>
          <w:szCs w:val="20"/>
        </w:rPr>
        <w:t xml:space="preserve">[8]  Y. Dou et al., </w:t>
      </w:r>
      <w:r>
        <w:rPr>
          <w:rFonts w:ascii="Times New Roman" w:cs="Times New Roman" w:eastAsia="Times New Roman" w:hAnsi="Times New Roman"/>
          <w:i/>
          <w:iCs/>
          <w:sz w:val="20"/>
          <w:szCs w:val="20"/>
        </w:rPr>
        <w:t xml:space="preserve">"Enhancing Graph Neural Network-Based Fraud Detection via Imbalanced Graph Learning," </w:t>
      </w:r>
      <w:r>
        <w:rPr>
          <w:rFonts w:ascii="Times New Roman" w:cs="Times New Roman" w:eastAsia="Times New Roman" w:hAnsi="Times New Roman"/>
          <w:sz w:val="20"/>
          <w:szCs w:val="20"/>
        </w:rPr>
        <w:t xml:space="preserve">Proc. ACM Web Conference (WWW), 2020.</w:t>
      </w:r>
    </w:p>
    <w:p>
      <w:pPr>
        <w:spacing w:after="80" w:line="276"/>
        <w:ind w:left="360" w:hanging="360"/>
        <w:jc w:val="both"/>
      </w:pPr>
      <w:r>
        <w:rPr>
          <w:rFonts w:ascii="Times New Roman" w:cs="Times New Roman" w:eastAsia="Times New Roman" w:hAnsi="Times New Roman"/>
          <w:sz w:val="20"/>
          <w:szCs w:val="20"/>
        </w:rPr>
        <w:t xml:space="preserve">[9]  E. Edge et al., </w:t>
      </w:r>
      <w:r>
        <w:rPr>
          <w:rFonts w:ascii="Times New Roman" w:cs="Times New Roman" w:eastAsia="Times New Roman" w:hAnsi="Times New Roman"/>
          <w:i/>
          <w:iCs/>
          <w:sz w:val="20"/>
          <w:szCs w:val="20"/>
        </w:rPr>
        <w:t xml:space="preserve">"From Local to Global: A Graph RAG Approach to Query-Focused Summarization," </w:t>
      </w:r>
      <w:r>
        <w:rPr>
          <w:rFonts w:ascii="Times New Roman" w:cs="Times New Roman" w:eastAsia="Times New Roman" w:hAnsi="Times New Roman"/>
          <w:sz w:val="20"/>
          <w:szCs w:val="20"/>
        </w:rPr>
        <w:t xml:space="preserve">arXiv:2404.16130, 2024.</w:t>
      </w:r>
    </w:p>
    <w:p>
      <w:pPr>
        <w:spacing w:after="80" w:line="276"/>
        <w:ind w:left="360" w:hanging="360"/>
        <w:jc w:val="both"/>
      </w:pPr>
      <w:r>
        <w:rPr>
          <w:rFonts w:ascii="Times New Roman" w:cs="Times New Roman" w:eastAsia="Times New Roman" w:hAnsi="Times New Roman"/>
          <w:sz w:val="20"/>
          <w:szCs w:val="20"/>
        </w:rPr>
        <w:t xml:space="preserve">[10]  Databricks Inc., </w:t>
      </w:r>
      <w:r>
        <w:rPr>
          <w:rFonts w:ascii="Times New Roman" w:cs="Times New Roman" w:eastAsia="Times New Roman" w:hAnsi="Times New Roman"/>
          <w:i/>
          <w:iCs/>
          <w:sz w:val="20"/>
          <w:szCs w:val="20"/>
        </w:rPr>
        <w:t xml:space="preserve">"Medallion Architecture: A Series of Data Layers That Denote the Quality of Data," </w:t>
      </w:r>
      <w:r>
        <w:rPr>
          <w:rFonts w:ascii="Times New Roman" w:cs="Times New Roman" w:eastAsia="Times New Roman" w:hAnsi="Times New Roman"/>
          <w:sz w:val="20"/>
          <w:szCs w:val="20"/>
        </w:rPr>
        <w:t xml:space="preserve">Databricks Technical Blog, 2021.</w:t>
      </w:r>
    </w:p>
    <w:p>
      <w:pPr>
        <w:spacing w:after="80" w:line="276"/>
        <w:ind w:left="360" w:hanging="360"/>
        <w:jc w:val="both"/>
      </w:pPr>
      <w:r>
        <w:rPr>
          <w:rFonts w:ascii="Times New Roman" w:cs="Times New Roman" w:eastAsia="Times New Roman" w:hAnsi="Times New Roman"/>
          <w:sz w:val="20"/>
          <w:szCs w:val="20"/>
        </w:rPr>
        <w:t xml:space="preserve">[11]  H. Touvron et al., </w:t>
      </w:r>
      <w:r>
        <w:rPr>
          <w:rFonts w:ascii="Times New Roman" w:cs="Times New Roman" w:eastAsia="Times New Roman" w:hAnsi="Times New Roman"/>
          <w:i/>
          <w:iCs/>
          <w:sz w:val="20"/>
          <w:szCs w:val="20"/>
        </w:rPr>
        <w:t xml:space="preserve">"Llama 2: Open Foundation and Fine-Tuned Chat Models," </w:t>
      </w:r>
      <w:r>
        <w:rPr>
          <w:rFonts w:ascii="Times New Roman" w:cs="Times New Roman" w:eastAsia="Times New Roman" w:hAnsi="Times New Roman"/>
          <w:sz w:val="20"/>
          <w:szCs w:val="20"/>
        </w:rPr>
        <w:t xml:space="preserve">arXiv:2307.09288, 2023.</w:t>
      </w:r>
    </w:p>
    <w:p>
      <w:pPr>
        <w:spacing w:after="80" w:line="276"/>
        <w:ind w:left="360" w:hanging="360"/>
        <w:jc w:val="both"/>
      </w:pPr>
      <w:r>
        <w:rPr>
          <w:rFonts w:ascii="Times New Roman" w:cs="Times New Roman" w:eastAsia="Times New Roman" w:hAnsi="Times New Roman"/>
          <w:sz w:val="20"/>
          <w:szCs w:val="20"/>
        </w:rPr>
        <w:t xml:space="preserve">[12]  OpenAI, </w:t>
      </w:r>
      <w:r>
        <w:rPr>
          <w:rFonts w:ascii="Times New Roman" w:cs="Times New Roman" w:eastAsia="Times New Roman" w:hAnsi="Times New Roman"/>
          <w:i/>
          <w:iCs/>
          <w:sz w:val="20"/>
          <w:szCs w:val="20"/>
        </w:rPr>
        <w:t xml:space="preserve">"GPT-4 Technical Report," </w:t>
      </w:r>
      <w:r>
        <w:rPr>
          <w:rFonts w:ascii="Times New Roman" w:cs="Times New Roman" w:eastAsia="Times New Roman" w:hAnsi="Times New Roman"/>
          <w:sz w:val="20"/>
          <w:szCs w:val="20"/>
        </w:rPr>
        <w:t xml:space="preserve">arXiv:2303.08774, 2023.</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hAnsi="Times New Roman"/>
        <w:sz w:val="16"/>
        <w:color w:val="666666"/>
      </w:rPr>
      <w:t xml:space="preserve">Manuscript received April 2025.  </w:t>
    </w:r>
    <w:r>
      <w:rPr>
        <w:rFonts w:ascii="Times New Roman" w:hAnsi="Times New Roman"/>
        <w:sz w:val="16"/>
        <w:color w:val="666666"/>
      </w:rPr>
      <w:fldChar w:fldCharType="begin"/>
    </w:r>
    <w:r>
      <w:rPr>
        <w:rFonts w:ascii="Times New Roman" w:hAnsi="Times New Roman"/>
        <w:sz w:val="16"/>
        <w:color w:val="666666"/>
      </w:rPr>
      <w:instrText xml:space="preserve"> PAGE </w:instrText>
    </w:r>
    <w:r>
      <w:rPr>
        <w:rFonts w:ascii="Times New Roman" w:hAnsi="Times New Roman"/>
        <w:sz w:val="16"/>
        <w:color w:val="66666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color w:val="666666"/>
        <w:sz w:val="16"/>
        <w:szCs w:val="16"/>
      </w:rPr>
      <w:t xml:space="preserve">IEEE TRANSACTIONS ON KNOWLEDGE AND DATA ENGINEERING, VOL. XX, NO. XX,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2026-04-21T02:28:59.665Z</dcterms:created>
  <dcterms:modified xsi:type="dcterms:W3CDTF">2026-04-21T02:28:59.666Z</dcterms:modified>
</cp:coreProperties>
</file>

<file path=docProps/custom.xml><?xml version="1.0" encoding="utf-8"?>
<Properties xmlns="http://schemas.openxmlformats.org/officeDocument/2006/custom-properties" xmlns:vt="http://schemas.openxmlformats.org/officeDocument/2006/docPropsVTypes"/>
</file>