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Modelling Techniques &amp; Evaluation</w:t>
      </w:r>
    </w:p>
    <w:p>
      <w:pPr>
        <w:spacing w:after="40"/>
      </w:pPr>
      <w:r>
        <w:rPr>
          <w:color w:val="444444"/>
          <w:sz w:val="24"/>
          <w:szCs w:val="24"/>
        </w:rPr>
        <w:t xml:space="preserve">Predicting Severe Injury in European Football, 2020–2025</w:t>
      </w:r>
    </w:p>
    <w:p>
      <w:pPr>
        <w:pBdr>
          <w:bottom w:val="single" w:color="1F3864" w:sz="6"/>
        </w:pBdr>
        <w:spacing w:after="240"/>
      </w:pPr>
      <w:r>
        <w:rPr>
          <w:i/>
          <w:iCs/>
          <w:color w:val="666666"/>
          <w:sz w:val="20"/>
          <w:szCs w:val="20"/>
        </w:rPr>
        <w:t xml:space="preserve">WAI Project · Sports Analytics · Akshay Thomas, IIM Ranchi</w:t>
      </w:r>
    </w:p>
    <w:p>
      <w:pPr>
        <w:pStyle w:val="Heading1"/>
        <w:spacing w:after="130" w:before="300"/>
      </w:pPr>
      <w:r>
        <w:t xml:space="preserve">1. Task and evaluation design</w:t>
      </w:r>
    </w:p>
    <w:p>
      <w:pPr>
        <w:spacing w:after="130"/>
      </w:pPr>
      <w:r>
        <w:t xml:space="preserve">Binary classification. The target, severe_injury, is 1 when a recorded injury keeps a player out for 28 days or more. The dataset holds 15,603 injuries to 4,081 players across five European leagues over five seasons; 35.5% are severe, a 1.8:1 imbalance.</w:t>
      </w:r>
    </w:p>
    <w:p>
      <w:pPr>
        <w:pStyle w:val="Heading2"/>
        <w:spacing w:after="90" w:before="230"/>
      </w:pPr>
      <w:r>
        <w:t xml:space="preserve">1.1 The split, and why it is grouped</w:t>
      </w:r>
    </w:p>
    <w:p>
      <w:pPr>
        <w:spacing w:after="130"/>
      </w:pPr>
      <w:r>
        <w:t xml:space="preserve">The same player appears many times — up to 21 injuries for one individual. A random row-wise split would place the same player on both sides, letting a model recognise the player rather than the injury and inflating every score. The split is therefore grouped on player identity using GroupShuffleSplit, with an assertion in the notebook that the intersection of train and test players is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shd w:fill="1F3864" w:val="clear"/>
            <w:tcMar>
              <w:top w:type="dxa" w:w="80"/>
              <w:left w:type="dxa" w:w="100"/>
              <w:bottom w:type="dxa" w:w="80"/>
              <w:right w:type="dxa" w:w="100"/>
            </w:tcMar>
          </w:tcPr>
          <w:p>
            <w:r>
              <w:rPr>
                <w:b/>
                <w:bCs/>
                <w:color w:val="FFFFFF"/>
                <w:sz w:val="18"/>
                <w:szCs w:val="18"/>
              </w:rPr>
              <w:t xml:space="preserve">Split</w:t>
            </w:r>
          </w:p>
        </w:tc>
        <w:tc>
          <w:tcPr>
            <w:tcW w:type="dxa" w:w="2400"/>
            <w:shd w:fill="1F3864" w:val="clear"/>
            <w:tcMar>
              <w:top w:type="dxa" w:w="80"/>
              <w:left w:type="dxa" w:w="100"/>
              <w:bottom w:type="dxa" w:w="80"/>
              <w:right w:type="dxa" w:w="100"/>
            </w:tcMar>
          </w:tcPr>
          <w:p>
            <w:r>
              <w:rPr>
                <w:b/>
                <w:bCs/>
                <w:color w:val="FFFFFF"/>
                <w:sz w:val="18"/>
                <w:szCs w:val="18"/>
              </w:rPr>
              <w:t xml:space="preserve">Injuries</w:t>
            </w:r>
          </w:p>
        </w:tc>
        <w:tc>
          <w:tcPr>
            <w:tcW w:type="dxa" w:w="2280"/>
            <w:shd w:fill="1F3864" w:val="clear"/>
            <w:tcMar>
              <w:top w:type="dxa" w:w="80"/>
              <w:left w:type="dxa" w:w="100"/>
              <w:bottom w:type="dxa" w:w="80"/>
              <w:right w:type="dxa" w:w="100"/>
            </w:tcMar>
          </w:tcPr>
          <w:p>
            <w:r>
              <w:rPr>
                <w:b/>
                <w:bCs/>
                <w:color w:val="FFFFFF"/>
                <w:sz w:val="18"/>
                <w:szCs w:val="18"/>
              </w:rPr>
              <w:t xml:space="preserve">Players</w:t>
            </w:r>
          </w:p>
        </w:tc>
        <w:tc>
          <w:tcPr>
            <w:tcW w:type="dxa" w:w="2280"/>
            <w:shd w:fill="1F3864" w:val="clear"/>
            <w:tcMar>
              <w:top w:type="dxa" w:w="80"/>
              <w:left w:type="dxa" w:w="100"/>
              <w:bottom w:type="dxa" w:w="80"/>
              <w:right w:type="dxa" w:w="100"/>
            </w:tcMar>
          </w:tcPr>
          <w:p>
            <w:r>
              <w:rPr>
                <w:b/>
                <w:bCs/>
                <w:color w:val="FFFFFF"/>
                <w:sz w:val="18"/>
                <w:szCs w:val="18"/>
              </w:rPr>
              <w:t xml:space="preserve">Severe rate</w:t>
            </w:r>
          </w:p>
        </w:tc>
      </w:tr>
      <w:tr>
        <w:tc>
          <w:tcPr>
            <w:tcW w:type="dxa" w:w="2400"/>
            <w:shd w:fill="FFFFFF" w:val="clear"/>
            <w:tcMar>
              <w:top w:type="dxa" w:w="65"/>
              <w:left w:type="dxa" w:w="100"/>
              <w:bottom w:type="dxa" w:w="65"/>
              <w:right w:type="dxa" w:w="100"/>
            </w:tcMar>
          </w:tcPr>
          <w:p>
            <w:r>
              <w:rPr>
                <w:sz w:val="18"/>
                <w:szCs w:val="18"/>
              </w:rPr>
              <w:t xml:space="preserve">Train</w:t>
            </w:r>
          </w:p>
        </w:tc>
        <w:tc>
          <w:tcPr>
            <w:tcW w:type="dxa" w:w="2400"/>
            <w:shd w:fill="FFFFFF" w:val="clear"/>
            <w:tcMar>
              <w:top w:type="dxa" w:w="65"/>
              <w:left w:type="dxa" w:w="100"/>
              <w:bottom w:type="dxa" w:w="65"/>
              <w:right w:type="dxa" w:w="100"/>
            </w:tcMar>
          </w:tcPr>
          <w:p>
            <w:r>
              <w:rPr>
                <w:sz w:val="18"/>
                <w:szCs w:val="18"/>
              </w:rPr>
              <w:t xml:space="preserve">11,697</w:t>
            </w:r>
          </w:p>
        </w:tc>
        <w:tc>
          <w:tcPr>
            <w:tcW w:type="dxa" w:w="2280"/>
            <w:shd w:fill="FFFFFF" w:val="clear"/>
            <w:tcMar>
              <w:top w:type="dxa" w:w="65"/>
              <w:left w:type="dxa" w:w="100"/>
              <w:bottom w:type="dxa" w:w="65"/>
              <w:right w:type="dxa" w:w="100"/>
            </w:tcMar>
          </w:tcPr>
          <w:p>
            <w:r>
              <w:rPr>
                <w:sz w:val="18"/>
                <w:szCs w:val="18"/>
              </w:rPr>
              <w:t xml:space="preserve">3,060</w:t>
            </w:r>
          </w:p>
        </w:tc>
        <w:tc>
          <w:tcPr>
            <w:tcW w:type="dxa" w:w="2280"/>
            <w:shd w:fill="FFFFFF" w:val="clear"/>
            <w:tcMar>
              <w:top w:type="dxa" w:w="65"/>
              <w:left w:type="dxa" w:w="100"/>
              <w:bottom w:type="dxa" w:w="65"/>
              <w:right w:type="dxa" w:w="100"/>
            </w:tcMar>
          </w:tcPr>
          <w:p>
            <w:r>
              <w:rPr>
                <w:sz w:val="18"/>
                <w:szCs w:val="18"/>
              </w:rPr>
              <w:t xml:space="preserve">35.7%</w:t>
            </w:r>
          </w:p>
        </w:tc>
      </w:tr>
      <w:tr>
        <w:tc>
          <w:tcPr>
            <w:tcW w:type="dxa" w:w="2400"/>
            <w:shd w:fill="F2F5FA" w:val="clear"/>
            <w:tcMar>
              <w:top w:type="dxa" w:w="65"/>
              <w:left w:type="dxa" w:w="100"/>
              <w:bottom w:type="dxa" w:w="65"/>
              <w:right w:type="dxa" w:w="100"/>
            </w:tcMar>
          </w:tcPr>
          <w:p>
            <w:r>
              <w:rPr>
                <w:sz w:val="18"/>
                <w:szCs w:val="18"/>
              </w:rPr>
              <w:t xml:space="preserve">Test</w:t>
            </w:r>
          </w:p>
        </w:tc>
        <w:tc>
          <w:tcPr>
            <w:tcW w:type="dxa" w:w="2400"/>
            <w:shd w:fill="F2F5FA" w:val="clear"/>
            <w:tcMar>
              <w:top w:type="dxa" w:w="65"/>
              <w:left w:type="dxa" w:w="100"/>
              <w:bottom w:type="dxa" w:w="65"/>
              <w:right w:type="dxa" w:w="100"/>
            </w:tcMar>
          </w:tcPr>
          <w:p>
            <w:r>
              <w:rPr>
                <w:sz w:val="18"/>
                <w:szCs w:val="18"/>
              </w:rPr>
              <w:t xml:space="preserve">3,906</w:t>
            </w:r>
          </w:p>
        </w:tc>
        <w:tc>
          <w:tcPr>
            <w:tcW w:type="dxa" w:w="2280"/>
            <w:shd w:fill="F2F5FA" w:val="clear"/>
            <w:tcMar>
              <w:top w:type="dxa" w:w="65"/>
              <w:left w:type="dxa" w:w="100"/>
              <w:bottom w:type="dxa" w:w="65"/>
              <w:right w:type="dxa" w:w="100"/>
            </w:tcMar>
          </w:tcPr>
          <w:p>
            <w:r>
              <w:rPr>
                <w:sz w:val="18"/>
                <w:szCs w:val="18"/>
              </w:rPr>
              <w:t xml:space="preserve">1,021</w:t>
            </w:r>
          </w:p>
        </w:tc>
        <w:tc>
          <w:tcPr>
            <w:tcW w:type="dxa" w:w="2280"/>
            <w:shd w:fill="F2F5FA" w:val="clear"/>
            <w:tcMar>
              <w:top w:type="dxa" w:w="65"/>
              <w:left w:type="dxa" w:w="100"/>
              <w:bottom w:type="dxa" w:w="65"/>
              <w:right w:type="dxa" w:w="100"/>
            </w:tcMar>
          </w:tcPr>
          <w:p>
            <w:r>
              <w:rPr>
                <w:sz w:val="18"/>
                <w:szCs w:val="18"/>
              </w:rPr>
              <w:t xml:space="preserve">35.0%</w:t>
            </w:r>
          </w:p>
        </w:tc>
      </w:tr>
      <w:tr>
        <w:tc>
          <w:tcPr>
            <w:tcW w:type="dxa" w:w="2400"/>
            <w:shd w:fill="FFFFFF" w:val="clear"/>
            <w:tcMar>
              <w:top w:type="dxa" w:w="65"/>
              <w:left w:type="dxa" w:w="100"/>
              <w:bottom w:type="dxa" w:w="65"/>
              <w:right w:type="dxa" w:w="100"/>
            </w:tcMar>
          </w:tcPr>
          <w:p>
            <w:r>
              <w:rPr>
                <w:sz w:val="18"/>
                <w:szCs w:val="18"/>
              </w:rPr>
              <w:t xml:space="preserve">Shared players</w:t>
            </w:r>
          </w:p>
        </w:tc>
        <w:tc>
          <w:tcPr>
            <w:tcW w:type="dxa" w:w="2400"/>
            <w:shd w:fill="FFFFFF" w:val="clear"/>
            <w:tcMar>
              <w:top w:type="dxa" w:w="65"/>
              <w:left w:type="dxa" w:w="100"/>
              <w:bottom w:type="dxa" w:w="65"/>
              <w:right w:type="dxa" w:w="100"/>
            </w:tcMar>
          </w:tcPr>
          <w:p>
            <w:r>
              <w:rPr>
                <w:sz w:val="18"/>
                <w:szCs w:val="18"/>
              </w:rPr>
              <w:t xml:space="preserve">0</w:t>
            </w:r>
          </w:p>
        </w:tc>
        <w:tc>
          <w:tcPr>
            <w:tcW w:type="dxa" w:w="2280"/>
            <w:shd w:fill="FFFFFF" w:val="clear"/>
            <w:tcMar>
              <w:top w:type="dxa" w:w="65"/>
              <w:left w:type="dxa" w:w="100"/>
              <w:bottom w:type="dxa" w:w="65"/>
              <w:right w:type="dxa" w:w="100"/>
            </w:tcMar>
          </w:tcPr>
          <w:p>
            <w:r>
              <w:rPr>
                <w:sz w:val="18"/>
                <w:szCs w:val="18"/>
              </w:rPr>
              <w:t xml:space="preserve">0</w:t>
            </w:r>
          </w:p>
        </w:tc>
        <w:tc>
          <w:tcPr>
            <w:tcW w:type="dxa" w:w="2280"/>
            <w:shd w:fill="FFFFFF" w:val="clear"/>
            <w:tcMar>
              <w:top w:type="dxa" w:w="65"/>
              <w:left w:type="dxa" w:w="100"/>
              <w:bottom w:type="dxa" w:w="65"/>
              <w:right w:type="dxa" w:w="100"/>
            </w:tcMar>
          </w:tcPr>
          <w:p>
            <w:r>
              <w:rPr>
                <w:sz w:val="18"/>
                <w:szCs w:val="18"/>
              </w:rPr>
              <w:t xml:space="preserve">—</w:t>
            </w:r>
          </w:p>
        </w:tc>
      </w:tr>
    </w:tbl>
    <w:p>
      <w:pPr>
        <w:spacing w:after="120"/>
      </w:pPr>
    </w:p>
    <w:p>
      <w:pPr>
        <w:spacing w:after="130"/>
      </w:pPr>
      <w:r>
        <w:t xml:space="preserve">Hyperparameter search uses StratifiedGroupKFold (3 folds) over the training set only, again grouped on player, scored on ROC-AUC. RANDOM_STATE = 42 throughout.</w:t>
      </w:r>
    </w:p>
    <w:p>
      <w:pPr>
        <w:pStyle w:val="Heading2"/>
        <w:spacing w:after="90" w:before="230"/>
      </w:pPr>
      <w:r>
        <w:t xml:space="preserve">1.2 Handling the class imbalance</w:t>
      </w:r>
    </w:p>
    <w:p>
      <w:pPr>
        <w:spacing w:after="130"/>
      </w:pPr>
      <w:r>
        <w:t xml:space="preserve">At 1.8:1 the imbalance is mild. SMOTE is designed for minority classes in roughly the 1–10% range; applied here it would synthesise a large volume of artificial rows to correct a modest skew, adding noise rather than information. Logistic regression and random forest use class_weight="balanced"; XGBoost uses scale_pos_weight = 1.800.</w:t>
      </w:r>
    </w:p>
    <w:p>
      <w:pPr>
        <w:spacing w:after="130"/>
      </w:pPr>
      <w:r>
        <w:t xml:space="preserve">Note that these reweight the loss function — they do not move the 0.5 decision threshold. Section 5 addresses that separately.</w:t>
      </w:r>
    </w:p>
    <w:p>
      <w:pPr>
        <w:pStyle w:val="Heading2"/>
        <w:spacing w:after="90" w:before="230"/>
      </w:pPr>
      <w:r>
        <w:t xml:space="preserve">1.3 Feature set</w:t>
      </w:r>
    </w:p>
    <w:p>
      <w:pPr>
        <w:spacing w:after="130"/>
      </w:pPr>
      <w:r>
        <w:t xml:space="preserve">13 numeric features and 6 categorical features one-hot encoded to 38 dummies, giving a 51-column design matrix over 15,603 rows. Four features were removed as leakage before modelling (Assumptions report, Section 4) and five injury-history features were rebuilt as-of the injury date after modelling (Section 6 below, and Assumptions report Section 9).</w:t>
      </w:r>
    </w:p>
    <w:p>
      <w:r>
        <w:br w:type="page"/>
      </w:r>
    </w:p>
    <w:p>
      <w:pPr>
        <w:pStyle w:val="Heading1"/>
        <w:spacing w:after="130" w:before="300"/>
      </w:pPr>
      <w:r>
        <w:t xml:space="preserve">2. Models and hyperparameter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2000"/>
        <w:gridCol w:w="1760"/>
      </w:tblGrid>
      <w:tr>
        <w:trPr>
          <w:tblHeader/>
        </w:trPr>
        <w:tc>
          <w:tcPr>
            <w:tcW w:type="dxa" w:w="2300"/>
            <w:shd w:fill="1F3864" w:val="clear"/>
            <w:tcMar>
              <w:top w:type="dxa" w:w="80"/>
              <w:left w:type="dxa" w:w="100"/>
              <w:bottom w:type="dxa" w:w="80"/>
              <w:right w:type="dxa" w:w="100"/>
            </w:tcMar>
          </w:tcPr>
          <w:p>
            <w:r>
              <w:rPr>
                <w:b/>
                <w:bCs/>
                <w:color w:val="FFFFFF"/>
                <w:sz w:val="18"/>
                <w:szCs w:val="18"/>
              </w:rPr>
              <w:t xml:space="preserve">Model</w:t>
            </w:r>
          </w:p>
        </w:tc>
        <w:tc>
          <w:tcPr>
            <w:tcW w:type="dxa" w:w="3300"/>
            <w:shd w:fill="1F3864" w:val="clear"/>
            <w:tcMar>
              <w:top w:type="dxa" w:w="80"/>
              <w:left w:type="dxa" w:w="100"/>
              <w:bottom w:type="dxa" w:w="80"/>
              <w:right w:type="dxa" w:w="100"/>
            </w:tcMar>
          </w:tcPr>
          <w:p>
            <w:r>
              <w:rPr>
                <w:b/>
                <w:bCs/>
                <w:color w:val="FFFFFF"/>
                <w:sz w:val="18"/>
                <w:szCs w:val="18"/>
              </w:rPr>
              <w:t xml:space="preserve">Search grid</w:t>
            </w:r>
          </w:p>
        </w:tc>
        <w:tc>
          <w:tcPr>
            <w:tcW w:type="dxa" w:w="2000"/>
            <w:shd w:fill="1F3864" w:val="clear"/>
            <w:tcMar>
              <w:top w:type="dxa" w:w="80"/>
              <w:left w:type="dxa" w:w="100"/>
              <w:bottom w:type="dxa" w:w="80"/>
              <w:right w:type="dxa" w:w="100"/>
            </w:tcMar>
          </w:tcPr>
          <w:p>
            <w:r>
              <w:rPr>
                <w:b/>
                <w:bCs/>
                <w:color w:val="FFFFFF"/>
                <w:sz w:val="18"/>
                <w:szCs w:val="18"/>
              </w:rPr>
              <w:t xml:space="preserve">Selected</w:t>
            </w:r>
          </w:p>
        </w:tc>
        <w:tc>
          <w:tcPr>
            <w:tcW w:type="dxa" w:w="1760"/>
            <w:shd w:fill="1F3864" w:val="clear"/>
            <w:tcMar>
              <w:top w:type="dxa" w:w="80"/>
              <w:left w:type="dxa" w:w="100"/>
              <w:bottom w:type="dxa" w:w="80"/>
              <w:right w:type="dxa" w:w="100"/>
            </w:tcMar>
          </w:tcPr>
          <w:p>
            <w:r>
              <w:rPr>
                <w:b/>
                <w:bCs/>
                <w:color w:val="FFFFFF"/>
                <w:sz w:val="18"/>
                <w:szCs w:val="18"/>
              </w:rPr>
              <w:t xml:space="preserve">CV ROC-AUC</w:t>
            </w:r>
          </w:p>
        </w:tc>
      </w:tr>
      <w:tr>
        <w:tc>
          <w:tcPr>
            <w:tcW w:type="dxa" w:w="2300"/>
            <w:shd w:fill="FFFFFF" w:val="clear"/>
            <w:tcMar>
              <w:top w:type="dxa" w:w="65"/>
              <w:left w:type="dxa" w:w="100"/>
              <w:bottom w:type="dxa" w:w="65"/>
              <w:right w:type="dxa" w:w="100"/>
            </w:tcMar>
          </w:tcPr>
          <w:p>
            <w:r>
              <w:rPr>
                <w:sz w:val="18"/>
                <w:szCs w:val="18"/>
              </w:rPr>
              <w:t xml:space="preserve">Logistic Regression</w:t>
            </w:r>
          </w:p>
        </w:tc>
        <w:tc>
          <w:tcPr>
            <w:tcW w:type="dxa" w:w="3300"/>
            <w:shd w:fill="FFFFFF" w:val="clear"/>
            <w:tcMar>
              <w:top w:type="dxa" w:w="65"/>
              <w:left w:type="dxa" w:w="100"/>
              <w:bottom w:type="dxa" w:w="65"/>
              <w:right w:type="dxa" w:w="100"/>
            </w:tcMar>
          </w:tcPr>
          <w:p>
            <w:r>
              <w:rPr>
                <w:sz w:val="18"/>
                <w:szCs w:val="18"/>
              </w:rPr>
              <w:t xml:space="preserve">C ∈ {0.01, 0.1, 1, 10}</w:t>
            </w:r>
          </w:p>
        </w:tc>
        <w:tc>
          <w:tcPr>
            <w:tcW w:type="dxa" w:w="2000"/>
            <w:shd w:fill="FFFFFF" w:val="clear"/>
            <w:tcMar>
              <w:top w:type="dxa" w:w="65"/>
              <w:left w:type="dxa" w:w="100"/>
              <w:bottom w:type="dxa" w:w="65"/>
              <w:right w:type="dxa" w:w="100"/>
            </w:tcMar>
          </w:tcPr>
          <w:p>
            <w:r>
              <w:rPr>
                <w:sz w:val="18"/>
                <w:szCs w:val="18"/>
              </w:rPr>
              <w:t xml:space="preserve">C = 0.1</w:t>
            </w:r>
          </w:p>
        </w:tc>
        <w:tc>
          <w:tcPr>
            <w:tcW w:type="dxa" w:w="1760"/>
            <w:shd w:fill="FFFFFF" w:val="clear"/>
            <w:tcMar>
              <w:top w:type="dxa" w:w="65"/>
              <w:left w:type="dxa" w:w="100"/>
              <w:bottom w:type="dxa" w:w="65"/>
              <w:right w:type="dxa" w:w="100"/>
            </w:tcMar>
          </w:tcPr>
          <w:p>
            <w:r>
              <w:rPr>
                <w:sz w:val="18"/>
                <w:szCs w:val="18"/>
              </w:rPr>
              <w:t xml:space="preserve">0.7421</w:t>
            </w:r>
          </w:p>
        </w:tc>
      </w:tr>
      <w:tr>
        <w:tc>
          <w:tcPr>
            <w:tcW w:type="dxa" w:w="2300"/>
            <w:shd w:fill="F2F5FA" w:val="clear"/>
            <w:tcMar>
              <w:top w:type="dxa" w:w="65"/>
              <w:left w:type="dxa" w:w="100"/>
              <w:bottom w:type="dxa" w:w="65"/>
              <w:right w:type="dxa" w:w="100"/>
            </w:tcMar>
          </w:tcPr>
          <w:p>
            <w:r>
              <w:rPr>
                <w:sz w:val="18"/>
                <w:szCs w:val="18"/>
              </w:rPr>
              <w:t xml:space="preserve">Random Forest</w:t>
            </w:r>
          </w:p>
        </w:tc>
        <w:tc>
          <w:tcPr>
            <w:tcW w:type="dxa" w:w="3300"/>
            <w:shd w:fill="F2F5FA" w:val="clear"/>
            <w:tcMar>
              <w:top w:type="dxa" w:w="65"/>
              <w:left w:type="dxa" w:w="100"/>
              <w:bottom w:type="dxa" w:w="65"/>
              <w:right w:type="dxa" w:w="100"/>
            </w:tcMar>
          </w:tcPr>
          <w:p>
            <w:r>
              <w:rPr>
                <w:sz w:val="18"/>
                <w:szCs w:val="18"/>
              </w:rPr>
              <w:t xml:space="preserve">max_depth ∈ {6, 12, None}
min_samples_leaf ∈ {1, 5}</w:t>
            </w:r>
          </w:p>
        </w:tc>
        <w:tc>
          <w:tcPr>
            <w:tcW w:type="dxa" w:w="2000"/>
            <w:shd w:fill="F2F5FA" w:val="clear"/>
            <w:tcMar>
              <w:top w:type="dxa" w:w="65"/>
              <w:left w:type="dxa" w:w="100"/>
              <w:bottom w:type="dxa" w:w="65"/>
              <w:right w:type="dxa" w:w="100"/>
            </w:tcMar>
          </w:tcPr>
          <w:p>
            <w:r>
              <w:rPr>
                <w:sz w:val="18"/>
                <w:szCs w:val="18"/>
              </w:rPr>
              <w:t xml:space="preserve">depth 12, leaf 5</w:t>
            </w:r>
          </w:p>
        </w:tc>
        <w:tc>
          <w:tcPr>
            <w:tcW w:type="dxa" w:w="1760"/>
            <w:shd w:fill="F2F5FA" w:val="clear"/>
            <w:tcMar>
              <w:top w:type="dxa" w:w="65"/>
              <w:left w:type="dxa" w:w="100"/>
              <w:bottom w:type="dxa" w:w="65"/>
              <w:right w:type="dxa" w:w="100"/>
            </w:tcMar>
          </w:tcPr>
          <w:p>
            <w:r>
              <w:rPr>
                <w:sz w:val="18"/>
                <w:szCs w:val="18"/>
              </w:rPr>
              <w:t xml:space="preserve">0.7390</w:t>
            </w:r>
          </w:p>
        </w:tc>
      </w:tr>
      <w:tr>
        <w:tc>
          <w:tcPr>
            <w:tcW w:type="dxa" w:w="2300"/>
            <w:shd w:fill="FFFFFF" w:val="clear"/>
            <w:tcMar>
              <w:top w:type="dxa" w:w="65"/>
              <w:left w:type="dxa" w:w="100"/>
              <w:bottom w:type="dxa" w:w="65"/>
              <w:right w:type="dxa" w:w="100"/>
            </w:tcMar>
          </w:tcPr>
          <w:p>
            <w:r>
              <w:rPr>
                <w:sz w:val="18"/>
                <w:szCs w:val="18"/>
              </w:rPr>
              <w:t xml:space="preserve">XGBoost</w:t>
            </w:r>
          </w:p>
        </w:tc>
        <w:tc>
          <w:tcPr>
            <w:tcW w:type="dxa" w:w="3300"/>
            <w:shd w:fill="FFFFFF" w:val="clear"/>
            <w:tcMar>
              <w:top w:type="dxa" w:w="65"/>
              <w:left w:type="dxa" w:w="100"/>
              <w:bottom w:type="dxa" w:w="65"/>
              <w:right w:type="dxa" w:w="100"/>
            </w:tcMar>
          </w:tcPr>
          <w:p>
            <w:r>
              <w:rPr>
                <w:sz w:val="18"/>
                <w:szCs w:val="18"/>
              </w:rPr>
              <w:t xml:space="preserve">max_depth ∈ {3, 5, 7}
learning_rate ∈ {0.05, 0.1}</w:t>
            </w:r>
          </w:p>
        </w:tc>
        <w:tc>
          <w:tcPr>
            <w:tcW w:type="dxa" w:w="2000"/>
            <w:shd w:fill="FFFFFF" w:val="clear"/>
            <w:tcMar>
              <w:top w:type="dxa" w:w="65"/>
              <w:left w:type="dxa" w:w="100"/>
              <w:bottom w:type="dxa" w:w="65"/>
              <w:right w:type="dxa" w:w="100"/>
            </w:tcMar>
          </w:tcPr>
          <w:p>
            <w:r>
              <w:rPr>
                <w:sz w:val="18"/>
                <w:szCs w:val="18"/>
              </w:rPr>
              <w:t xml:space="preserve">depth 3, lr 0.05</w:t>
            </w:r>
          </w:p>
        </w:tc>
        <w:tc>
          <w:tcPr>
            <w:tcW w:type="dxa" w:w="1760"/>
            <w:shd w:fill="FFFFFF" w:val="clear"/>
            <w:tcMar>
              <w:top w:type="dxa" w:w="65"/>
              <w:left w:type="dxa" w:w="100"/>
              <w:bottom w:type="dxa" w:w="65"/>
              <w:right w:type="dxa" w:w="100"/>
            </w:tcMar>
          </w:tcPr>
          <w:p>
            <w:r>
              <w:rPr>
                <w:sz w:val="18"/>
                <w:szCs w:val="18"/>
              </w:rPr>
              <w:t xml:space="preserve">0.7435</w:t>
            </w:r>
          </w:p>
        </w:tc>
      </w:tr>
    </w:tbl>
    <w:p>
      <w:pPr>
        <w:spacing w:after="120"/>
      </w:pPr>
    </w:p>
    <w:p>
      <w:pPr>
        <w:spacing w:after="130"/>
      </w:pPr>
      <w:r>
        <w:t xml:space="preserve">Logistic regression runs inside a pipeline with StandardScaler so that the regularisation penalty applies on a common scale and coefficients are directly comparable. Both tree models use 300 estimators.</w:t>
      </w:r>
    </w:p>
    <w:p>
      <w:pPr>
        <w:spacing w:after="130"/>
      </w:pPr>
      <w:r>
        <w:t xml:space="preserve">All three selected the least flexible option available in their grid — XGBoost chose the shallowest depth and the slower learning rate; random forest chose the more constrained leaf size. That consistency is a signal that the data does not support a complex decision surface.</w:t>
      </w:r>
    </w:p>
    <w:p>
      <w:pPr>
        <w:pStyle w:val="Heading1"/>
        <w:spacing w:after="130" w:before="300"/>
      </w:pPr>
      <w:r>
        <w:t xml:space="preserve">3. Results on the held-out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60"/>
        <w:gridCol w:w="1360"/>
        <w:gridCol w:w="1360"/>
        <w:gridCol w:w="1360"/>
        <w:gridCol w:w="1360"/>
      </w:tblGrid>
      <w:tr>
        <w:trPr>
          <w:tblHeader/>
        </w:trPr>
        <w:tc>
          <w:tcPr>
            <w:tcW w:type="dxa" w:w="2560"/>
            <w:shd w:fill="1F3864" w:val="clear"/>
            <w:tcMar>
              <w:top w:type="dxa" w:w="80"/>
              <w:left w:type="dxa" w:w="100"/>
              <w:bottom w:type="dxa" w:w="80"/>
              <w:right w:type="dxa" w:w="100"/>
            </w:tcMar>
          </w:tcPr>
          <w:p>
            <w:r>
              <w:rPr>
                <w:b/>
                <w:bCs/>
                <w:color w:val="FFFFFF"/>
                <w:sz w:val="18"/>
                <w:szCs w:val="18"/>
              </w:rPr>
              <w:t xml:space="preserve">Model</w:t>
            </w:r>
          </w:p>
        </w:tc>
        <w:tc>
          <w:tcPr>
            <w:tcW w:type="dxa" w:w="1360"/>
            <w:shd w:fill="1F3864" w:val="clear"/>
            <w:tcMar>
              <w:top w:type="dxa" w:w="80"/>
              <w:left w:type="dxa" w:w="100"/>
              <w:bottom w:type="dxa" w:w="80"/>
              <w:right w:type="dxa" w:w="100"/>
            </w:tcMar>
          </w:tcPr>
          <w:p>
            <w:r>
              <w:rPr>
                <w:b/>
                <w:bCs/>
                <w:color w:val="FFFFFF"/>
                <w:sz w:val="18"/>
                <w:szCs w:val="18"/>
              </w:rPr>
              <w:t xml:space="preserve">Accuracy</w:t>
            </w:r>
          </w:p>
        </w:tc>
        <w:tc>
          <w:tcPr>
            <w:tcW w:type="dxa" w:w="1360"/>
            <w:shd w:fill="1F3864" w:val="clear"/>
            <w:tcMar>
              <w:top w:type="dxa" w:w="80"/>
              <w:left w:type="dxa" w:w="100"/>
              <w:bottom w:type="dxa" w:w="80"/>
              <w:right w:type="dxa" w:w="100"/>
            </w:tcMar>
          </w:tcPr>
          <w:p>
            <w:r>
              <w:rPr>
                <w:b/>
                <w:bCs/>
                <w:color w:val="FFFFFF"/>
                <w:sz w:val="18"/>
                <w:szCs w:val="18"/>
              </w:rPr>
              <w:t xml:space="preserve">Precision</w:t>
            </w:r>
          </w:p>
        </w:tc>
        <w:tc>
          <w:tcPr>
            <w:tcW w:type="dxa" w:w="1360"/>
            <w:shd w:fill="1F3864" w:val="clear"/>
            <w:tcMar>
              <w:top w:type="dxa" w:w="80"/>
              <w:left w:type="dxa" w:w="100"/>
              <w:bottom w:type="dxa" w:w="80"/>
              <w:right w:type="dxa" w:w="100"/>
            </w:tcMar>
          </w:tcPr>
          <w:p>
            <w:r>
              <w:rPr>
                <w:b/>
                <w:bCs/>
                <w:color w:val="FFFFFF"/>
                <w:sz w:val="18"/>
                <w:szCs w:val="18"/>
              </w:rPr>
              <w:t xml:space="preserve">Recall</w:t>
            </w:r>
          </w:p>
        </w:tc>
        <w:tc>
          <w:tcPr>
            <w:tcW w:type="dxa" w:w="1360"/>
            <w:shd w:fill="1F3864" w:val="clear"/>
            <w:tcMar>
              <w:top w:type="dxa" w:w="80"/>
              <w:left w:type="dxa" w:w="100"/>
              <w:bottom w:type="dxa" w:w="80"/>
              <w:right w:type="dxa" w:w="100"/>
            </w:tcMar>
          </w:tcPr>
          <w:p>
            <w:r>
              <w:rPr>
                <w:b/>
                <w:bCs/>
                <w:color w:val="FFFFFF"/>
                <w:sz w:val="18"/>
                <w:szCs w:val="18"/>
              </w:rPr>
              <w:t xml:space="preserve">F1</w:t>
            </w:r>
          </w:p>
        </w:tc>
        <w:tc>
          <w:tcPr>
            <w:tcW w:type="dxa" w:w="1360"/>
            <w:shd w:fill="1F3864" w:val="clear"/>
            <w:tcMar>
              <w:top w:type="dxa" w:w="80"/>
              <w:left w:type="dxa" w:w="100"/>
              <w:bottom w:type="dxa" w:w="80"/>
              <w:right w:type="dxa" w:w="100"/>
            </w:tcMar>
          </w:tcPr>
          <w:p>
            <w:r>
              <w:rPr>
                <w:b/>
                <w:bCs/>
                <w:color w:val="FFFFFF"/>
                <w:sz w:val="18"/>
                <w:szCs w:val="18"/>
              </w:rPr>
              <w:t xml:space="preserve">ROC-AUC</w:t>
            </w:r>
          </w:p>
        </w:tc>
      </w:tr>
      <w:tr>
        <w:tc>
          <w:tcPr>
            <w:tcW w:type="dxa" w:w="2560"/>
            <w:shd w:fill="FFFFFF" w:val="clear"/>
            <w:tcMar>
              <w:top w:type="dxa" w:w="65"/>
              <w:left w:type="dxa" w:w="100"/>
              <w:bottom w:type="dxa" w:w="65"/>
              <w:right w:type="dxa" w:w="100"/>
            </w:tcMar>
          </w:tcPr>
          <w:p>
            <w:r>
              <w:rPr>
                <w:sz w:val="18"/>
                <w:szCs w:val="18"/>
              </w:rPr>
              <w:t xml:space="preserve">XGBoost</w:t>
            </w:r>
          </w:p>
        </w:tc>
        <w:tc>
          <w:tcPr>
            <w:tcW w:type="dxa" w:w="1360"/>
            <w:shd w:fill="FFFFFF" w:val="clear"/>
            <w:tcMar>
              <w:top w:type="dxa" w:w="65"/>
              <w:left w:type="dxa" w:w="100"/>
              <w:bottom w:type="dxa" w:w="65"/>
              <w:right w:type="dxa" w:w="100"/>
            </w:tcMar>
          </w:tcPr>
          <w:p>
            <w:r>
              <w:rPr>
                <w:sz w:val="18"/>
                <w:szCs w:val="18"/>
              </w:rPr>
              <w:t xml:space="preserve">0.674</w:t>
            </w:r>
          </w:p>
        </w:tc>
        <w:tc>
          <w:tcPr>
            <w:tcW w:type="dxa" w:w="1360"/>
            <w:shd w:fill="FFFFFF" w:val="clear"/>
            <w:tcMar>
              <w:top w:type="dxa" w:w="65"/>
              <w:left w:type="dxa" w:w="100"/>
              <w:bottom w:type="dxa" w:w="65"/>
              <w:right w:type="dxa" w:w="100"/>
            </w:tcMar>
          </w:tcPr>
          <w:p>
            <w:r>
              <w:rPr>
                <w:sz w:val="18"/>
                <w:szCs w:val="18"/>
              </w:rPr>
              <w:t xml:space="preserve">0.526</w:t>
            </w:r>
          </w:p>
        </w:tc>
        <w:tc>
          <w:tcPr>
            <w:tcW w:type="dxa" w:w="1360"/>
            <w:shd w:fill="FFFFFF" w:val="clear"/>
            <w:tcMar>
              <w:top w:type="dxa" w:w="65"/>
              <w:left w:type="dxa" w:w="100"/>
              <w:bottom w:type="dxa" w:w="65"/>
              <w:right w:type="dxa" w:w="100"/>
            </w:tcMar>
          </w:tcPr>
          <w:p>
            <w:r>
              <w:rPr>
                <w:sz w:val="18"/>
                <w:szCs w:val="18"/>
              </w:rPr>
              <w:t xml:space="preserve">0.704</w:t>
            </w:r>
          </w:p>
        </w:tc>
        <w:tc>
          <w:tcPr>
            <w:tcW w:type="dxa" w:w="1360"/>
            <w:shd w:fill="FFFFFF" w:val="clear"/>
            <w:tcMar>
              <w:top w:type="dxa" w:w="65"/>
              <w:left w:type="dxa" w:w="100"/>
              <w:bottom w:type="dxa" w:w="65"/>
              <w:right w:type="dxa" w:w="100"/>
            </w:tcMar>
          </w:tcPr>
          <w:p>
            <w:r>
              <w:rPr>
                <w:sz w:val="18"/>
                <w:szCs w:val="18"/>
              </w:rPr>
              <w:t xml:space="preserve">0.602</w:t>
            </w:r>
          </w:p>
        </w:tc>
        <w:tc>
          <w:tcPr>
            <w:tcW w:type="dxa" w:w="1360"/>
            <w:shd w:fill="FFFFFF" w:val="clear"/>
            <w:tcMar>
              <w:top w:type="dxa" w:w="65"/>
              <w:left w:type="dxa" w:w="100"/>
              <w:bottom w:type="dxa" w:w="65"/>
              <w:right w:type="dxa" w:w="100"/>
            </w:tcMar>
          </w:tcPr>
          <w:p>
            <w:r>
              <w:rPr>
                <w:sz w:val="18"/>
                <w:szCs w:val="18"/>
              </w:rPr>
              <w:t xml:space="preserve">0.747</w:t>
            </w:r>
          </w:p>
        </w:tc>
      </w:tr>
      <w:tr>
        <w:tc>
          <w:tcPr>
            <w:tcW w:type="dxa" w:w="2560"/>
            <w:shd w:fill="F2F5FA" w:val="clear"/>
            <w:tcMar>
              <w:top w:type="dxa" w:w="65"/>
              <w:left w:type="dxa" w:w="100"/>
              <w:bottom w:type="dxa" w:w="65"/>
              <w:right w:type="dxa" w:w="100"/>
            </w:tcMar>
          </w:tcPr>
          <w:p>
            <w:r>
              <w:rPr>
                <w:sz w:val="18"/>
                <w:szCs w:val="18"/>
              </w:rPr>
              <w:t xml:space="preserve">Random Forest</w:t>
            </w:r>
          </w:p>
        </w:tc>
        <w:tc>
          <w:tcPr>
            <w:tcW w:type="dxa" w:w="1360"/>
            <w:shd w:fill="F2F5FA" w:val="clear"/>
            <w:tcMar>
              <w:top w:type="dxa" w:w="65"/>
              <w:left w:type="dxa" w:w="100"/>
              <w:bottom w:type="dxa" w:w="65"/>
              <w:right w:type="dxa" w:w="100"/>
            </w:tcMar>
          </w:tcPr>
          <w:p>
            <w:r>
              <w:rPr>
                <w:sz w:val="18"/>
                <w:szCs w:val="18"/>
              </w:rPr>
              <w:t xml:space="preserve">0.683</w:t>
            </w:r>
          </w:p>
        </w:tc>
        <w:tc>
          <w:tcPr>
            <w:tcW w:type="dxa" w:w="1360"/>
            <w:shd w:fill="F2F5FA" w:val="clear"/>
            <w:tcMar>
              <w:top w:type="dxa" w:w="65"/>
              <w:left w:type="dxa" w:w="100"/>
              <w:bottom w:type="dxa" w:w="65"/>
              <w:right w:type="dxa" w:w="100"/>
            </w:tcMar>
          </w:tcPr>
          <w:p>
            <w:r>
              <w:rPr>
                <w:sz w:val="18"/>
                <w:szCs w:val="18"/>
              </w:rPr>
              <w:t xml:space="preserve">0.537</w:t>
            </w:r>
          </w:p>
        </w:tc>
        <w:tc>
          <w:tcPr>
            <w:tcW w:type="dxa" w:w="1360"/>
            <w:shd w:fill="F2F5FA" w:val="clear"/>
            <w:tcMar>
              <w:top w:type="dxa" w:w="65"/>
              <w:left w:type="dxa" w:w="100"/>
              <w:bottom w:type="dxa" w:w="65"/>
              <w:right w:type="dxa" w:w="100"/>
            </w:tcMar>
          </w:tcPr>
          <w:p>
            <w:r>
              <w:rPr>
                <w:sz w:val="18"/>
                <w:szCs w:val="18"/>
              </w:rPr>
              <w:t xml:space="preserve">0.678</w:t>
            </w:r>
          </w:p>
        </w:tc>
        <w:tc>
          <w:tcPr>
            <w:tcW w:type="dxa" w:w="1360"/>
            <w:shd w:fill="F2F5FA" w:val="clear"/>
            <w:tcMar>
              <w:top w:type="dxa" w:w="65"/>
              <w:left w:type="dxa" w:w="100"/>
              <w:bottom w:type="dxa" w:w="65"/>
              <w:right w:type="dxa" w:w="100"/>
            </w:tcMar>
          </w:tcPr>
          <w:p>
            <w:r>
              <w:rPr>
                <w:sz w:val="18"/>
                <w:szCs w:val="18"/>
              </w:rPr>
              <w:t xml:space="preserve">0.599</w:t>
            </w:r>
          </w:p>
        </w:tc>
        <w:tc>
          <w:tcPr>
            <w:tcW w:type="dxa" w:w="1360"/>
            <w:shd w:fill="F2F5FA" w:val="clear"/>
            <w:tcMar>
              <w:top w:type="dxa" w:w="65"/>
              <w:left w:type="dxa" w:w="100"/>
              <w:bottom w:type="dxa" w:w="65"/>
              <w:right w:type="dxa" w:w="100"/>
            </w:tcMar>
          </w:tcPr>
          <w:p>
            <w:r>
              <w:rPr>
                <w:sz w:val="18"/>
                <w:szCs w:val="18"/>
              </w:rPr>
              <w:t xml:space="preserve">0.744</w:t>
            </w:r>
          </w:p>
        </w:tc>
      </w:tr>
      <w:tr>
        <w:tc>
          <w:tcPr>
            <w:tcW w:type="dxa" w:w="2560"/>
            <w:shd w:fill="FFFFFF" w:val="clear"/>
            <w:tcMar>
              <w:top w:type="dxa" w:w="65"/>
              <w:left w:type="dxa" w:w="100"/>
              <w:bottom w:type="dxa" w:w="65"/>
              <w:right w:type="dxa" w:w="100"/>
            </w:tcMar>
          </w:tcPr>
          <w:p>
            <w:r>
              <w:rPr>
                <w:sz w:val="18"/>
                <w:szCs w:val="18"/>
              </w:rPr>
              <w:t xml:space="preserve">Logistic Regression</w:t>
            </w:r>
          </w:p>
        </w:tc>
        <w:tc>
          <w:tcPr>
            <w:tcW w:type="dxa" w:w="1360"/>
            <w:shd w:fill="FFFFFF" w:val="clear"/>
            <w:tcMar>
              <w:top w:type="dxa" w:w="65"/>
              <w:left w:type="dxa" w:w="100"/>
              <w:bottom w:type="dxa" w:w="65"/>
              <w:right w:type="dxa" w:w="100"/>
            </w:tcMar>
          </w:tcPr>
          <w:p>
            <w:r>
              <w:rPr>
                <w:sz w:val="18"/>
                <w:szCs w:val="18"/>
              </w:rPr>
              <w:t xml:space="preserve">0.674</w:t>
            </w:r>
          </w:p>
        </w:tc>
        <w:tc>
          <w:tcPr>
            <w:tcW w:type="dxa" w:w="1360"/>
            <w:shd w:fill="FFFFFF" w:val="clear"/>
            <w:tcMar>
              <w:top w:type="dxa" w:w="65"/>
              <w:left w:type="dxa" w:w="100"/>
              <w:bottom w:type="dxa" w:w="65"/>
              <w:right w:type="dxa" w:w="100"/>
            </w:tcMar>
          </w:tcPr>
          <w:p>
            <w:r>
              <w:rPr>
                <w:sz w:val="18"/>
                <w:szCs w:val="18"/>
              </w:rPr>
              <w:t xml:space="preserve">0.526</w:t>
            </w:r>
          </w:p>
        </w:tc>
        <w:tc>
          <w:tcPr>
            <w:tcW w:type="dxa" w:w="1360"/>
            <w:shd w:fill="FFFFFF" w:val="clear"/>
            <w:tcMar>
              <w:top w:type="dxa" w:w="65"/>
              <w:left w:type="dxa" w:w="100"/>
              <w:bottom w:type="dxa" w:w="65"/>
              <w:right w:type="dxa" w:w="100"/>
            </w:tcMar>
          </w:tcPr>
          <w:p>
            <w:r>
              <w:rPr>
                <w:sz w:val="18"/>
                <w:szCs w:val="18"/>
              </w:rPr>
              <w:t xml:space="preserve">0.698</w:t>
            </w:r>
          </w:p>
        </w:tc>
        <w:tc>
          <w:tcPr>
            <w:tcW w:type="dxa" w:w="1360"/>
            <w:shd w:fill="FFFFFF" w:val="clear"/>
            <w:tcMar>
              <w:top w:type="dxa" w:w="65"/>
              <w:left w:type="dxa" w:w="100"/>
              <w:bottom w:type="dxa" w:w="65"/>
              <w:right w:type="dxa" w:w="100"/>
            </w:tcMar>
          </w:tcPr>
          <w:p>
            <w:r>
              <w:rPr>
                <w:sz w:val="18"/>
                <w:szCs w:val="18"/>
              </w:rPr>
              <w:t xml:space="preserve">0.600</w:t>
            </w:r>
          </w:p>
        </w:tc>
        <w:tc>
          <w:tcPr>
            <w:tcW w:type="dxa" w:w="1360"/>
            <w:shd w:fill="FFFFFF" w:val="clear"/>
            <w:tcMar>
              <w:top w:type="dxa" w:w="65"/>
              <w:left w:type="dxa" w:w="100"/>
              <w:bottom w:type="dxa" w:w="65"/>
              <w:right w:type="dxa" w:w="100"/>
            </w:tcMar>
          </w:tcPr>
          <w:p>
            <w:r>
              <w:rPr>
                <w:sz w:val="18"/>
                <w:szCs w:val="18"/>
              </w:rPr>
              <w:t xml:space="preserve">0.742</w:t>
            </w:r>
          </w:p>
        </w:tc>
      </w:tr>
    </w:tbl>
    <w:p>
      <w:pPr>
        <w:spacing w:after="120"/>
      </w:pPr>
    </w:p>
    <w:p>
      <w:pPr>
        <w:spacing w:after="130"/>
      </w:pPr>
      <w:r>
        <w:t xml:space="preserve">Precision and recall are for the severe class, which is the class of interest. The three models finish within 0.006 AUC of one another — a difference far smaller than the variation one would expect from a different random split. No model is meaningfully better than the others on this data.</w:t>
      </w:r>
    </w:p>
    <w:p>
      <w:pPr>
        <w:spacing w:after="130"/>
      </w:pPr>
      <w:r>
        <w:t xml:space="preserve">That is a substantive result rather than a disappointment. It says the signal available in these features is largely accessible to a linear decision boundary, and that the extra flexibility of tree ensembles has almost nothing left to capture.</w:t>
      </w:r>
    </w:p>
    <w:p>
      <w:r>
        <w:br w:type="page"/>
      </w:r>
    </w:p>
    <w:p>
      <w:pPr>
        <w:pStyle w:val="Heading1"/>
        <w:spacing w:after="130" w:before="300"/>
      </w:pPr>
      <w:r>
        <w:t xml:space="preserve">4. Confusion matrices and ROC curves</w:t>
      </w:r>
    </w:p>
    <w:p>
      <w:pPr>
        <w:spacing w:after="130"/>
      </w:pPr>
      <w:r>
        <w:t xml:space="preserve">Each pair shows the test confusion matrix and the test ROC curve. Read the matrix by its bottom-left cell: those are missed severe injuries, the costly error. Training confusion matrices are in the notebook alongside each model.</w:t>
      </w:r>
    </w:p>
    <w:p>
      <w:pPr>
        <w:pStyle w:val="Heading2"/>
        <w:spacing w:after="90" w:before="230"/>
      </w:pPr>
      <w:r>
        <w:t xml:space="preserve">4.1 XGBoost — best by AUC and recall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240" w:lineRule="auto"/>
            </w:pPr>
            <w:r>
              <w:drawing>
                <wp:inline distT="0" distB="0" distL="0" distR="0">
                  <wp:extent cx="22479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47900" cy="15906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240" w:lineRule="auto"/>
            </w:pPr>
            <w:r>
              <w:drawing>
                <wp:inline distT="0" distB="0" distL="0" distR="0">
                  <wp:extent cx="20383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38350" cy="1828800"/>
                          </a:xfrm>
                          <a:prstGeom prst="rect">
                            <a:avLst/>
                          </a:prstGeom>
                        </pic:spPr>
                      </pic:pic>
                    </a:graphicData>
                  </a:graphic>
                </wp:inline>
              </w:drawing>
            </w:r>
          </w:p>
        </w:tc>
      </w:tr>
    </w:tbl>
    <w:p>
      <w:pPr>
        <w:spacing w:after="200"/>
      </w:pPr>
      <w:r>
        <w:rPr>
          <w:i/>
          <w:iCs/>
          <w:color w:val="666666"/>
          <w:sz w:val="17"/>
          <w:szCs w:val="17"/>
        </w:rPr>
        <w:t xml:space="preserve">Figure 1. XGBoost. Test: 963 severe injuries correctly identified, 405 missed, 869 false alarms.</w:t>
      </w:r>
    </w:p>
    <w:p>
      <w:pPr>
        <w:pStyle w:val="Heading2"/>
        <w:spacing w:after="90" w:before="230"/>
      </w:pPr>
      <w:r>
        <w:t xml:space="preserve">4.2 Random Forest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240" w:lineRule="auto"/>
            </w:pPr>
            <w:r>
              <w:drawing>
                <wp:inline distT="0" distB="0" distL="0" distR="0">
                  <wp:extent cx="22479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47900" cy="15906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240" w:lineRule="auto"/>
            </w:pPr>
            <w:r>
              <w:drawing>
                <wp:inline distT="0" distB="0" distL="0" distR="0">
                  <wp:extent cx="20383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38350" cy="1828800"/>
                          </a:xfrm>
                          <a:prstGeom prst="rect">
                            <a:avLst/>
                          </a:prstGeom>
                        </pic:spPr>
                      </pic:pic>
                    </a:graphicData>
                  </a:graphic>
                </wp:inline>
              </w:drawing>
            </w:r>
          </w:p>
        </w:tc>
      </w:tr>
    </w:tbl>
    <w:p>
      <w:pPr>
        <w:spacing w:after="200"/>
      </w:pPr>
      <w:r>
        <w:rPr>
          <w:i/>
          <w:iCs/>
          <w:color w:val="666666"/>
          <w:sz w:val="17"/>
          <w:szCs w:val="17"/>
        </w:rPr>
        <w:t xml:space="preserve">Figure 2. Random Forest. Test: 927 correct, 441 missed, 798 false alarms. Its training matrix (in the notebook) is markedly sharper than this one — the residual overfitting that min_samples_leaf = 5 constrains but does not remove.</w:t>
      </w:r>
    </w:p>
    <w:p>
      <w:pPr>
        <w:pStyle w:val="Heading2"/>
        <w:spacing w:after="90" w:before="230"/>
      </w:pPr>
      <w:r>
        <w:t xml:space="preserve">4.3 Logistic Regression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240" w:lineRule="auto"/>
            </w:pPr>
            <w:r>
              <w:drawing>
                <wp:inline distT="0" distB="0" distL="0" distR="0">
                  <wp:extent cx="22479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47900" cy="15906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240" w:lineRule="auto"/>
            </w:pPr>
            <w:r>
              <w:drawing>
                <wp:inline distT="0" distB="0" distL="0" distR="0">
                  <wp:extent cx="20383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38350" cy="1828800"/>
                          </a:xfrm>
                          <a:prstGeom prst="rect">
                            <a:avLst/>
                          </a:prstGeom>
                        </pic:spPr>
                      </pic:pic>
                    </a:graphicData>
                  </a:graphic>
                </wp:inline>
              </w:drawing>
            </w:r>
          </w:p>
        </w:tc>
      </w:tr>
    </w:tbl>
    <w:p>
      <w:pPr>
        <w:spacing w:after="200"/>
      </w:pPr>
      <w:r>
        <w:rPr>
          <w:i/>
          <w:iCs/>
          <w:color w:val="666666"/>
          <w:sz w:val="17"/>
          <w:szCs w:val="17"/>
        </w:rPr>
        <w:t xml:space="preserve">Figure 3. Logistic Regression. Test: 955 correct, 413 missed, 860 false alarms — within a few dozen cases of XGBoost across every cell.</w:t>
      </w:r>
    </w:p>
    <w:p>
      <w:r>
        <w:br w:type="page"/>
      </w:r>
    </w:p>
    <w:p>
      <w:pPr>
        <w:pStyle w:val="Heading2"/>
        <w:spacing w:after="90" w:before="230"/>
      </w:pPr>
      <w:r>
        <w:t xml:space="preserve">4.4 Reading the matrices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shd w:fill="1F3864" w:val="clear"/>
            <w:tcMar>
              <w:top w:type="dxa" w:w="80"/>
              <w:left w:type="dxa" w:w="100"/>
              <w:bottom w:type="dxa" w:w="80"/>
              <w:right w:type="dxa" w:w="100"/>
            </w:tcMar>
          </w:tcPr>
          <w:p>
            <w:r>
              <w:rPr>
                <w:b/>
                <w:bCs/>
                <w:color w:val="FFFFFF"/>
                <w:sz w:val="18"/>
                <w:szCs w:val="18"/>
              </w:rPr>
              <w:t xml:space="preserve">Model</w:t>
            </w:r>
          </w:p>
        </w:tc>
        <w:tc>
          <w:tcPr>
            <w:tcW w:type="dxa" w:w="1700"/>
            <w:shd w:fill="1F3864" w:val="clear"/>
            <w:tcMar>
              <w:top w:type="dxa" w:w="80"/>
              <w:left w:type="dxa" w:w="100"/>
              <w:bottom w:type="dxa" w:w="80"/>
              <w:right w:type="dxa" w:w="100"/>
            </w:tcMar>
          </w:tcPr>
          <w:p>
            <w:r>
              <w:rPr>
                <w:b/>
                <w:bCs/>
                <w:color w:val="FFFFFF"/>
                <w:sz w:val="18"/>
                <w:szCs w:val="18"/>
              </w:rPr>
              <w:t xml:space="preserve">True neg.</w:t>
            </w:r>
          </w:p>
        </w:tc>
        <w:tc>
          <w:tcPr>
            <w:tcW w:type="dxa" w:w="1700"/>
            <w:shd w:fill="1F3864" w:val="clear"/>
            <w:tcMar>
              <w:top w:type="dxa" w:w="80"/>
              <w:left w:type="dxa" w:w="100"/>
              <w:bottom w:type="dxa" w:w="80"/>
              <w:right w:type="dxa" w:w="100"/>
            </w:tcMar>
          </w:tcPr>
          <w:p>
            <w:r>
              <w:rPr>
                <w:b/>
                <w:bCs/>
                <w:color w:val="FFFFFF"/>
                <w:sz w:val="18"/>
                <w:szCs w:val="18"/>
              </w:rPr>
              <w:t xml:space="preserve">False pos.</w:t>
            </w:r>
          </w:p>
        </w:tc>
        <w:tc>
          <w:tcPr>
            <w:tcW w:type="dxa" w:w="1700"/>
            <w:shd w:fill="1F3864" w:val="clear"/>
            <w:tcMar>
              <w:top w:type="dxa" w:w="80"/>
              <w:left w:type="dxa" w:w="100"/>
              <w:bottom w:type="dxa" w:w="80"/>
              <w:right w:type="dxa" w:w="100"/>
            </w:tcMar>
          </w:tcPr>
          <w:p>
            <w:r>
              <w:rPr>
                <w:b/>
                <w:bCs/>
                <w:color w:val="FFFFFF"/>
                <w:sz w:val="18"/>
                <w:szCs w:val="18"/>
              </w:rPr>
              <w:t xml:space="preserve">False neg.</w:t>
            </w:r>
          </w:p>
        </w:tc>
        <w:tc>
          <w:tcPr>
            <w:tcW w:type="dxa" w:w="1700"/>
            <w:shd w:fill="1F3864" w:val="clear"/>
            <w:tcMar>
              <w:top w:type="dxa" w:w="80"/>
              <w:left w:type="dxa" w:w="100"/>
              <w:bottom w:type="dxa" w:w="80"/>
              <w:right w:type="dxa" w:w="100"/>
            </w:tcMar>
          </w:tcPr>
          <w:p>
            <w:r>
              <w:rPr>
                <w:b/>
                <w:bCs/>
                <w:color w:val="FFFFFF"/>
                <w:sz w:val="18"/>
                <w:szCs w:val="18"/>
              </w:rPr>
              <w:t xml:space="preserve">True pos.</w:t>
            </w:r>
          </w:p>
        </w:tc>
      </w:tr>
      <w:tr>
        <w:tc>
          <w:tcPr>
            <w:tcW w:type="dxa" w:w="2560"/>
            <w:shd w:fill="FFFFFF" w:val="clear"/>
            <w:tcMar>
              <w:top w:type="dxa" w:w="65"/>
              <w:left w:type="dxa" w:w="100"/>
              <w:bottom w:type="dxa" w:w="65"/>
              <w:right w:type="dxa" w:w="100"/>
            </w:tcMar>
          </w:tcPr>
          <w:p>
            <w:r>
              <w:rPr>
                <w:sz w:val="18"/>
                <w:szCs w:val="18"/>
              </w:rPr>
              <w:t xml:space="preserve">XGBoost</w:t>
            </w:r>
          </w:p>
        </w:tc>
        <w:tc>
          <w:tcPr>
            <w:tcW w:type="dxa" w:w="1700"/>
            <w:shd w:fill="FFFFFF" w:val="clear"/>
            <w:tcMar>
              <w:top w:type="dxa" w:w="65"/>
              <w:left w:type="dxa" w:w="100"/>
              <w:bottom w:type="dxa" w:w="65"/>
              <w:right w:type="dxa" w:w="100"/>
            </w:tcMar>
          </w:tcPr>
          <w:p>
            <w:r>
              <w:rPr>
                <w:sz w:val="18"/>
                <w:szCs w:val="18"/>
              </w:rPr>
              <w:t xml:space="preserve">1,669</w:t>
            </w:r>
          </w:p>
        </w:tc>
        <w:tc>
          <w:tcPr>
            <w:tcW w:type="dxa" w:w="1700"/>
            <w:shd w:fill="FFFFFF" w:val="clear"/>
            <w:tcMar>
              <w:top w:type="dxa" w:w="65"/>
              <w:left w:type="dxa" w:w="100"/>
              <w:bottom w:type="dxa" w:w="65"/>
              <w:right w:type="dxa" w:w="100"/>
            </w:tcMar>
          </w:tcPr>
          <w:p>
            <w:r>
              <w:rPr>
                <w:sz w:val="18"/>
                <w:szCs w:val="18"/>
              </w:rPr>
              <w:t xml:space="preserve">869</w:t>
            </w:r>
          </w:p>
        </w:tc>
        <w:tc>
          <w:tcPr>
            <w:tcW w:type="dxa" w:w="1700"/>
            <w:shd w:fill="FFFFFF" w:val="clear"/>
            <w:tcMar>
              <w:top w:type="dxa" w:w="65"/>
              <w:left w:type="dxa" w:w="100"/>
              <w:bottom w:type="dxa" w:w="65"/>
              <w:right w:type="dxa" w:w="100"/>
            </w:tcMar>
          </w:tcPr>
          <w:p>
            <w:r>
              <w:rPr>
                <w:sz w:val="18"/>
                <w:szCs w:val="18"/>
              </w:rPr>
              <w:t xml:space="preserve">405</w:t>
            </w:r>
          </w:p>
        </w:tc>
        <w:tc>
          <w:tcPr>
            <w:tcW w:type="dxa" w:w="1700"/>
            <w:shd w:fill="FFFFFF" w:val="clear"/>
            <w:tcMar>
              <w:top w:type="dxa" w:w="65"/>
              <w:left w:type="dxa" w:w="100"/>
              <w:bottom w:type="dxa" w:w="65"/>
              <w:right w:type="dxa" w:w="100"/>
            </w:tcMar>
          </w:tcPr>
          <w:p>
            <w:r>
              <w:rPr>
                <w:sz w:val="18"/>
                <w:szCs w:val="18"/>
              </w:rPr>
              <w:t xml:space="preserve">963</w:t>
            </w:r>
          </w:p>
        </w:tc>
      </w:tr>
      <w:tr>
        <w:tc>
          <w:tcPr>
            <w:tcW w:type="dxa" w:w="2560"/>
            <w:shd w:fill="F2F5FA" w:val="clear"/>
            <w:tcMar>
              <w:top w:type="dxa" w:w="65"/>
              <w:left w:type="dxa" w:w="100"/>
              <w:bottom w:type="dxa" w:w="65"/>
              <w:right w:type="dxa" w:w="100"/>
            </w:tcMar>
          </w:tcPr>
          <w:p>
            <w:r>
              <w:rPr>
                <w:sz w:val="18"/>
                <w:szCs w:val="18"/>
              </w:rPr>
              <w:t xml:space="preserve">Random Forest</w:t>
            </w:r>
          </w:p>
        </w:tc>
        <w:tc>
          <w:tcPr>
            <w:tcW w:type="dxa" w:w="1700"/>
            <w:shd w:fill="F2F5FA" w:val="clear"/>
            <w:tcMar>
              <w:top w:type="dxa" w:w="65"/>
              <w:left w:type="dxa" w:w="100"/>
              <w:bottom w:type="dxa" w:w="65"/>
              <w:right w:type="dxa" w:w="100"/>
            </w:tcMar>
          </w:tcPr>
          <w:p>
            <w:r>
              <w:rPr>
                <w:sz w:val="18"/>
                <w:szCs w:val="18"/>
              </w:rPr>
              <w:t xml:space="preserve">1,740</w:t>
            </w:r>
          </w:p>
        </w:tc>
        <w:tc>
          <w:tcPr>
            <w:tcW w:type="dxa" w:w="1700"/>
            <w:shd w:fill="F2F5FA" w:val="clear"/>
            <w:tcMar>
              <w:top w:type="dxa" w:w="65"/>
              <w:left w:type="dxa" w:w="100"/>
              <w:bottom w:type="dxa" w:w="65"/>
              <w:right w:type="dxa" w:w="100"/>
            </w:tcMar>
          </w:tcPr>
          <w:p>
            <w:r>
              <w:rPr>
                <w:sz w:val="18"/>
                <w:szCs w:val="18"/>
              </w:rPr>
              <w:t xml:space="preserve">798</w:t>
            </w:r>
          </w:p>
        </w:tc>
        <w:tc>
          <w:tcPr>
            <w:tcW w:type="dxa" w:w="1700"/>
            <w:shd w:fill="F2F5FA" w:val="clear"/>
            <w:tcMar>
              <w:top w:type="dxa" w:w="65"/>
              <w:left w:type="dxa" w:w="100"/>
              <w:bottom w:type="dxa" w:w="65"/>
              <w:right w:type="dxa" w:w="100"/>
            </w:tcMar>
          </w:tcPr>
          <w:p>
            <w:r>
              <w:rPr>
                <w:sz w:val="18"/>
                <w:szCs w:val="18"/>
              </w:rPr>
              <w:t xml:space="preserve">441</w:t>
            </w:r>
          </w:p>
        </w:tc>
        <w:tc>
          <w:tcPr>
            <w:tcW w:type="dxa" w:w="1700"/>
            <w:shd w:fill="F2F5FA" w:val="clear"/>
            <w:tcMar>
              <w:top w:type="dxa" w:w="65"/>
              <w:left w:type="dxa" w:w="100"/>
              <w:bottom w:type="dxa" w:w="65"/>
              <w:right w:type="dxa" w:w="100"/>
            </w:tcMar>
          </w:tcPr>
          <w:p>
            <w:r>
              <w:rPr>
                <w:sz w:val="18"/>
                <w:szCs w:val="18"/>
              </w:rPr>
              <w:t xml:space="preserve">927</w:t>
            </w:r>
          </w:p>
        </w:tc>
      </w:tr>
      <w:tr>
        <w:tc>
          <w:tcPr>
            <w:tcW w:type="dxa" w:w="2560"/>
            <w:shd w:fill="FFFFFF" w:val="clear"/>
            <w:tcMar>
              <w:top w:type="dxa" w:w="65"/>
              <w:left w:type="dxa" w:w="100"/>
              <w:bottom w:type="dxa" w:w="65"/>
              <w:right w:type="dxa" w:w="100"/>
            </w:tcMar>
          </w:tcPr>
          <w:p>
            <w:r>
              <w:rPr>
                <w:sz w:val="18"/>
                <w:szCs w:val="18"/>
              </w:rPr>
              <w:t xml:space="preserve">Logistic Regression</w:t>
            </w:r>
          </w:p>
        </w:tc>
        <w:tc>
          <w:tcPr>
            <w:tcW w:type="dxa" w:w="1700"/>
            <w:shd w:fill="FFFFFF" w:val="clear"/>
            <w:tcMar>
              <w:top w:type="dxa" w:w="65"/>
              <w:left w:type="dxa" w:w="100"/>
              <w:bottom w:type="dxa" w:w="65"/>
              <w:right w:type="dxa" w:w="100"/>
            </w:tcMar>
          </w:tcPr>
          <w:p>
            <w:r>
              <w:rPr>
                <w:sz w:val="18"/>
                <w:szCs w:val="18"/>
              </w:rPr>
              <w:t xml:space="preserve">1,678</w:t>
            </w:r>
          </w:p>
        </w:tc>
        <w:tc>
          <w:tcPr>
            <w:tcW w:type="dxa" w:w="1700"/>
            <w:shd w:fill="FFFFFF" w:val="clear"/>
            <w:tcMar>
              <w:top w:type="dxa" w:w="65"/>
              <w:left w:type="dxa" w:w="100"/>
              <w:bottom w:type="dxa" w:w="65"/>
              <w:right w:type="dxa" w:w="100"/>
            </w:tcMar>
          </w:tcPr>
          <w:p>
            <w:r>
              <w:rPr>
                <w:sz w:val="18"/>
                <w:szCs w:val="18"/>
              </w:rPr>
              <w:t xml:space="preserve">860</w:t>
            </w:r>
          </w:p>
        </w:tc>
        <w:tc>
          <w:tcPr>
            <w:tcW w:type="dxa" w:w="1700"/>
            <w:shd w:fill="FFFFFF" w:val="clear"/>
            <w:tcMar>
              <w:top w:type="dxa" w:w="65"/>
              <w:left w:type="dxa" w:w="100"/>
              <w:bottom w:type="dxa" w:w="65"/>
              <w:right w:type="dxa" w:w="100"/>
            </w:tcMar>
          </w:tcPr>
          <w:p>
            <w:r>
              <w:rPr>
                <w:sz w:val="18"/>
                <w:szCs w:val="18"/>
              </w:rPr>
              <w:t xml:space="preserve">413</w:t>
            </w:r>
          </w:p>
        </w:tc>
        <w:tc>
          <w:tcPr>
            <w:tcW w:type="dxa" w:w="1700"/>
            <w:shd w:fill="FFFFFF" w:val="clear"/>
            <w:tcMar>
              <w:top w:type="dxa" w:w="65"/>
              <w:left w:type="dxa" w:w="100"/>
              <w:bottom w:type="dxa" w:w="65"/>
              <w:right w:type="dxa" w:w="100"/>
            </w:tcMar>
          </w:tcPr>
          <w:p>
            <w:r>
              <w:rPr>
                <w:sz w:val="18"/>
                <w:szCs w:val="18"/>
              </w:rPr>
              <w:t xml:space="preserve">955</w:t>
            </w:r>
          </w:p>
        </w:tc>
      </w:tr>
    </w:tbl>
    <w:p>
      <w:pPr>
        <w:spacing w:after="120"/>
      </w:pPr>
    </w:p>
    <w:p>
      <w:pPr>
        <w:spacing w:after="130"/>
      </w:pPr>
      <w:r>
        <w:t xml:space="preserve">The operating trade-off is visible in the difference between random forest and the other two. Random forest issues 71 fewer false alarms but misses 36 more severe injuries. For a club, that is the wrong direction: a false alarm costs a precautionary scan or a rested player, while a missed severe injury costs weeks of a wage and a squad place.</w:t>
      </w:r>
    </w:p>
    <w:p>
      <w:pPr>
        <w:spacing w:after="130"/>
      </w:pPr>
      <w:r>
        <w:t xml:space="preserve">All three models sit at roughly one false alarm for every correct severe flag — precision near 0.53. A medical department using this model would be investigating slightly under two cases for every genuine severe injury caught. Whether that is acceptable is a resourcing judgement, not a modelling one, and it should be stated to the client rather than buried.</w:t>
      </w:r>
    </w:p>
    <w:p>
      <w:pPr>
        <w:pStyle w:val="Heading1"/>
        <w:spacing w:after="130" w:before="300"/>
      </w:pPr>
      <w:r>
        <w:t xml:space="preserve">5. Decision threshold</w:t>
      </w:r>
    </w:p>
    <w:p>
      <w:pPr>
        <w:spacing w:after="130"/>
      </w:pPr>
      <w:r>
        <w:t xml:space="preserve">Class weighting corrects the loss, not the cut-off. Because a missed severe injury is the more expensive error, the default 0.5 threshold is unlikely to be the right operating point. A sweep from 0.05 to 0.95 in 0.01 steps was run on the fitted models, maximising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300"/>
        <w:gridCol w:w="1300"/>
        <w:gridCol w:w="1500"/>
        <w:gridCol w:w="1360"/>
      </w:tblGrid>
      <w:tr>
        <w:trPr>
          <w:tblHeader/>
        </w:trPr>
        <w:tc>
          <w:tcPr>
            <w:tcW w:type="dxa" w:w="2400"/>
            <w:shd w:fill="1F3864" w:val="clear"/>
            <w:tcMar>
              <w:top w:type="dxa" w:w="80"/>
              <w:left w:type="dxa" w:w="100"/>
              <w:bottom w:type="dxa" w:w="80"/>
              <w:right w:type="dxa" w:w="100"/>
            </w:tcMar>
          </w:tcPr>
          <w:p>
            <w:r>
              <w:rPr>
                <w:b/>
                <w:bCs/>
                <w:color w:val="FFFFFF"/>
                <w:sz w:val="18"/>
                <w:szCs w:val="18"/>
              </w:rPr>
              <w:t xml:space="preserve">Model</w:t>
            </w:r>
          </w:p>
        </w:tc>
        <w:tc>
          <w:tcPr>
            <w:tcW w:type="dxa" w:w="1500"/>
            <w:shd w:fill="1F3864" w:val="clear"/>
            <w:tcMar>
              <w:top w:type="dxa" w:w="80"/>
              <w:left w:type="dxa" w:w="100"/>
              <w:bottom w:type="dxa" w:w="80"/>
              <w:right w:type="dxa" w:w="100"/>
            </w:tcMar>
          </w:tcPr>
          <w:p>
            <w:r>
              <w:rPr>
                <w:b/>
                <w:bCs/>
                <w:color w:val="FFFFFF"/>
                <w:sz w:val="18"/>
                <w:szCs w:val="18"/>
              </w:rPr>
              <w:t xml:space="preserve">Best threshold</w:t>
            </w:r>
          </w:p>
        </w:tc>
        <w:tc>
          <w:tcPr>
            <w:tcW w:type="dxa" w:w="1300"/>
            <w:shd w:fill="1F3864" w:val="clear"/>
            <w:tcMar>
              <w:top w:type="dxa" w:w="80"/>
              <w:left w:type="dxa" w:w="100"/>
              <w:bottom w:type="dxa" w:w="80"/>
              <w:right w:type="dxa" w:w="100"/>
            </w:tcMar>
          </w:tcPr>
          <w:p>
            <w:r>
              <w:rPr>
                <w:b/>
                <w:bCs/>
                <w:color w:val="FFFFFF"/>
                <w:sz w:val="18"/>
                <w:szCs w:val="18"/>
              </w:rPr>
              <w:t xml:space="preserve">F1 @ 0.50</w:t>
            </w:r>
          </w:p>
        </w:tc>
        <w:tc>
          <w:tcPr>
            <w:tcW w:type="dxa" w:w="1300"/>
            <w:shd w:fill="1F3864" w:val="clear"/>
            <w:tcMar>
              <w:top w:type="dxa" w:w="80"/>
              <w:left w:type="dxa" w:w="100"/>
              <w:bottom w:type="dxa" w:w="80"/>
              <w:right w:type="dxa" w:w="100"/>
            </w:tcMar>
          </w:tcPr>
          <w:p>
            <w:r>
              <w:rPr>
                <w:b/>
                <w:bCs/>
                <w:color w:val="FFFFFF"/>
                <w:sz w:val="18"/>
                <w:szCs w:val="18"/>
              </w:rPr>
              <w:t xml:space="preserve">F1 @ best</w:t>
            </w:r>
          </w:p>
        </w:tc>
        <w:tc>
          <w:tcPr>
            <w:tcW w:type="dxa" w:w="1500"/>
            <w:shd w:fill="1F3864" w:val="clear"/>
            <w:tcMar>
              <w:top w:type="dxa" w:w="80"/>
              <w:left w:type="dxa" w:w="100"/>
              <w:bottom w:type="dxa" w:w="80"/>
              <w:right w:type="dxa" w:w="100"/>
            </w:tcMar>
          </w:tcPr>
          <w:p>
            <w:r>
              <w:rPr>
                <w:b/>
                <w:bCs/>
                <w:color w:val="FFFFFF"/>
                <w:sz w:val="18"/>
                <w:szCs w:val="18"/>
              </w:rPr>
              <w:t xml:space="preserve">Recall @ 0.50</w:t>
            </w:r>
          </w:p>
        </w:tc>
        <w:tc>
          <w:tcPr>
            <w:tcW w:type="dxa" w:w="1360"/>
            <w:shd w:fill="1F3864" w:val="clear"/>
            <w:tcMar>
              <w:top w:type="dxa" w:w="80"/>
              <w:left w:type="dxa" w:w="100"/>
              <w:bottom w:type="dxa" w:w="80"/>
              <w:right w:type="dxa" w:w="100"/>
            </w:tcMar>
          </w:tcPr>
          <w:p>
            <w:r>
              <w:rPr>
                <w:b/>
                <w:bCs/>
                <w:color w:val="FFFFFF"/>
                <w:sz w:val="18"/>
                <w:szCs w:val="18"/>
              </w:rPr>
              <w:t xml:space="preserve">Recall @ best</w:t>
            </w:r>
          </w:p>
        </w:tc>
      </w:tr>
      <w:tr>
        <w:tc>
          <w:tcPr>
            <w:tcW w:type="dxa" w:w="2400"/>
            <w:shd w:fill="FFFFFF" w:val="clear"/>
            <w:tcMar>
              <w:top w:type="dxa" w:w="65"/>
              <w:left w:type="dxa" w:w="100"/>
              <w:bottom w:type="dxa" w:w="65"/>
              <w:right w:type="dxa" w:w="100"/>
            </w:tcMar>
          </w:tcPr>
          <w:p>
            <w:r>
              <w:rPr>
                <w:sz w:val="18"/>
                <w:szCs w:val="18"/>
              </w:rPr>
              <w:t xml:space="preserve">XGBoost</w:t>
            </w:r>
          </w:p>
        </w:tc>
        <w:tc>
          <w:tcPr>
            <w:tcW w:type="dxa" w:w="1500"/>
            <w:shd w:fill="FFFFFF" w:val="clear"/>
            <w:tcMar>
              <w:top w:type="dxa" w:w="65"/>
              <w:left w:type="dxa" w:w="100"/>
              <w:bottom w:type="dxa" w:w="65"/>
              <w:right w:type="dxa" w:w="100"/>
            </w:tcMar>
          </w:tcPr>
          <w:p>
            <w:r>
              <w:rPr>
                <w:sz w:val="18"/>
                <w:szCs w:val="18"/>
              </w:rPr>
              <w:t xml:space="preserve">0.49</w:t>
            </w:r>
          </w:p>
        </w:tc>
        <w:tc>
          <w:tcPr>
            <w:tcW w:type="dxa" w:w="1300"/>
            <w:shd w:fill="FFFFFF" w:val="clear"/>
            <w:tcMar>
              <w:top w:type="dxa" w:w="65"/>
              <w:left w:type="dxa" w:w="100"/>
              <w:bottom w:type="dxa" w:w="65"/>
              <w:right w:type="dxa" w:w="100"/>
            </w:tcMar>
          </w:tcPr>
          <w:p>
            <w:r>
              <w:rPr>
                <w:sz w:val="18"/>
                <w:szCs w:val="18"/>
              </w:rPr>
              <w:t xml:space="preserve">0.646</w:t>
            </w:r>
          </w:p>
        </w:tc>
        <w:tc>
          <w:tcPr>
            <w:tcW w:type="dxa" w:w="1300"/>
            <w:shd w:fill="FFFFFF" w:val="clear"/>
            <w:tcMar>
              <w:top w:type="dxa" w:w="65"/>
              <w:left w:type="dxa" w:w="100"/>
              <w:bottom w:type="dxa" w:w="65"/>
              <w:right w:type="dxa" w:w="100"/>
            </w:tcMar>
          </w:tcPr>
          <w:p>
            <w:r>
              <w:rPr>
                <w:sz w:val="18"/>
                <w:szCs w:val="18"/>
              </w:rPr>
              <w:t xml:space="preserve">0.650</w:t>
            </w:r>
          </w:p>
        </w:tc>
        <w:tc>
          <w:tcPr>
            <w:tcW w:type="dxa" w:w="1500"/>
            <w:shd w:fill="FFFFFF" w:val="clear"/>
            <w:tcMar>
              <w:top w:type="dxa" w:w="65"/>
              <w:left w:type="dxa" w:w="100"/>
              <w:bottom w:type="dxa" w:w="65"/>
              <w:right w:type="dxa" w:w="100"/>
            </w:tcMar>
          </w:tcPr>
          <w:p>
            <w:r>
              <w:rPr>
                <w:sz w:val="18"/>
                <w:szCs w:val="18"/>
              </w:rPr>
              <w:t xml:space="preserve">0.740</w:t>
            </w:r>
          </w:p>
        </w:tc>
        <w:tc>
          <w:tcPr>
            <w:tcW w:type="dxa" w:w="1360"/>
            <w:shd w:fill="FFFFFF" w:val="clear"/>
            <w:tcMar>
              <w:top w:type="dxa" w:w="65"/>
              <w:left w:type="dxa" w:w="100"/>
              <w:bottom w:type="dxa" w:w="65"/>
              <w:right w:type="dxa" w:w="100"/>
            </w:tcMar>
          </w:tcPr>
          <w:p>
            <w:r>
              <w:rPr>
                <w:sz w:val="18"/>
                <w:szCs w:val="18"/>
              </w:rPr>
              <w:t xml:space="preserve">0.755</w:t>
            </w:r>
          </w:p>
        </w:tc>
      </w:tr>
      <w:tr>
        <w:tc>
          <w:tcPr>
            <w:tcW w:type="dxa" w:w="2400"/>
            <w:shd w:fill="F2F5FA" w:val="clear"/>
            <w:tcMar>
              <w:top w:type="dxa" w:w="65"/>
              <w:left w:type="dxa" w:w="100"/>
              <w:bottom w:type="dxa" w:w="65"/>
              <w:right w:type="dxa" w:w="100"/>
            </w:tcMar>
          </w:tcPr>
          <w:p>
            <w:r>
              <w:rPr>
                <w:sz w:val="18"/>
                <w:szCs w:val="18"/>
              </w:rPr>
              <w:t xml:space="preserve">Random Forest</w:t>
            </w:r>
          </w:p>
        </w:tc>
        <w:tc>
          <w:tcPr>
            <w:tcW w:type="dxa" w:w="1500"/>
            <w:shd w:fill="F2F5FA" w:val="clear"/>
            <w:tcMar>
              <w:top w:type="dxa" w:w="65"/>
              <w:left w:type="dxa" w:w="100"/>
              <w:bottom w:type="dxa" w:w="65"/>
              <w:right w:type="dxa" w:w="100"/>
            </w:tcMar>
          </w:tcPr>
          <w:p>
            <w:r>
              <w:rPr>
                <w:sz w:val="18"/>
                <w:szCs w:val="18"/>
              </w:rPr>
              <w:t xml:space="preserve">0.45</w:t>
            </w:r>
          </w:p>
        </w:tc>
        <w:tc>
          <w:tcPr>
            <w:tcW w:type="dxa" w:w="1300"/>
            <w:shd w:fill="F2F5FA" w:val="clear"/>
            <w:tcMar>
              <w:top w:type="dxa" w:w="65"/>
              <w:left w:type="dxa" w:w="100"/>
              <w:bottom w:type="dxa" w:w="65"/>
              <w:right w:type="dxa" w:w="100"/>
            </w:tcMar>
          </w:tcPr>
          <w:p>
            <w:r>
              <w:rPr>
                <w:sz w:val="18"/>
                <w:szCs w:val="18"/>
              </w:rPr>
              <w:t xml:space="preserve">0.628</w:t>
            </w:r>
          </w:p>
        </w:tc>
        <w:tc>
          <w:tcPr>
            <w:tcW w:type="dxa" w:w="1300"/>
            <w:shd w:fill="F2F5FA" w:val="clear"/>
            <w:tcMar>
              <w:top w:type="dxa" w:w="65"/>
              <w:left w:type="dxa" w:w="100"/>
              <w:bottom w:type="dxa" w:w="65"/>
              <w:right w:type="dxa" w:w="100"/>
            </w:tcMar>
          </w:tcPr>
          <w:p>
            <w:r>
              <w:rPr>
                <w:sz w:val="18"/>
                <w:szCs w:val="18"/>
              </w:rPr>
              <w:t xml:space="preserve">0.640</w:t>
            </w:r>
          </w:p>
        </w:tc>
        <w:tc>
          <w:tcPr>
            <w:tcW w:type="dxa" w:w="1500"/>
            <w:shd w:fill="F2F5FA" w:val="clear"/>
            <w:tcMar>
              <w:top w:type="dxa" w:w="65"/>
              <w:left w:type="dxa" w:w="100"/>
              <w:bottom w:type="dxa" w:w="65"/>
              <w:right w:type="dxa" w:w="100"/>
            </w:tcMar>
          </w:tcPr>
          <w:p>
            <w:r>
              <w:rPr>
                <w:sz w:val="18"/>
                <w:szCs w:val="18"/>
              </w:rPr>
              <w:t xml:space="preserve">0.668</w:t>
            </w:r>
          </w:p>
        </w:tc>
        <w:tc>
          <w:tcPr>
            <w:tcW w:type="dxa" w:w="1360"/>
            <w:shd w:fill="F2F5FA" w:val="clear"/>
            <w:tcMar>
              <w:top w:type="dxa" w:w="65"/>
              <w:left w:type="dxa" w:w="100"/>
              <w:bottom w:type="dxa" w:w="65"/>
              <w:right w:type="dxa" w:w="100"/>
            </w:tcMar>
          </w:tcPr>
          <w:p>
            <w:r>
              <w:rPr>
                <w:sz w:val="18"/>
                <w:szCs w:val="18"/>
              </w:rPr>
              <w:t xml:space="preserve">0.750</w:t>
            </w:r>
          </w:p>
        </w:tc>
      </w:tr>
      <w:tr>
        <w:tc>
          <w:tcPr>
            <w:tcW w:type="dxa" w:w="2400"/>
            <w:shd w:fill="FFFFFF" w:val="clear"/>
            <w:tcMar>
              <w:top w:type="dxa" w:w="65"/>
              <w:left w:type="dxa" w:w="100"/>
              <w:bottom w:type="dxa" w:w="65"/>
              <w:right w:type="dxa" w:w="100"/>
            </w:tcMar>
          </w:tcPr>
          <w:p>
            <w:r>
              <w:rPr>
                <w:sz w:val="18"/>
                <w:szCs w:val="18"/>
              </w:rPr>
              <w:t xml:space="preserve">Logistic Regression</w:t>
            </w:r>
          </w:p>
        </w:tc>
        <w:tc>
          <w:tcPr>
            <w:tcW w:type="dxa" w:w="1500"/>
            <w:shd w:fill="FFFFFF" w:val="clear"/>
            <w:tcMar>
              <w:top w:type="dxa" w:w="65"/>
              <w:left w:type="dxa" w:w="100"/>
              <w:bottom w:type="dxa" w:w="65"/>
              <w:right w:type="dxa" w:w="100"/>
            </w:tcMar>
          </w:tcPr>
          <w:p>
            <w:r>
              <w:rPr>
                <w:sz w:val="18"/>
                <w:szCs w:val="18"/>
              </w:rPr>
              <w:t xml:space="preserve">0.47</w:t>
            </w:r>
          </w:p>
        </w:tc>
        <w:tc>
          <w:tcPr>
            <w:tcW w:type="dxa" w:w="1300"/>
            <w:shd w:fill="FFFFFF" w:val="clear"/>
            <w:tcMar>
              <w:top w:type="dxa" w:w="65"/>
              <w:left w:type="dxa" w:w="100"/>
              <w:bottom w:type="dxa" w:w="65"/>
              <w:right w:type="dxa" w:w="100"/>
            </w:tcMar>
          </w:tcPr>
          <w:p>
            <w:r>
              <w:rPr>
                <w:sz w:val="18"/>
                <w:szCs w:val="18"/>
              </w:rPr>
              <w:t xml:space="preserve">0.620</w:t>
            </w:r>
          </w:p>
        </w:tc>
        <w:tc>
          <w:tcPr>
            <w:tcW w:type="dxa" w:w="1300"/>
            <w:shd w:fill="FFFFFF" w:val="clear"/>
            <w:tcMar>
              <w:top w:type="dxa" w:w="65"/>
              <w:left w:type="dxa" w:w="100"/>
              <w:bottom w:type="dxa" w:w="65"/>
              <w:right w:type="dxa" w:w="100"/>
            </w:tcMar>
          </w:tcPr>
          <w:p>
            <w:r>
              <w:rPr>
                <w:sz w:val="18"/>
                <w:szCs w:val="18"/>
              </w:rPr>
              <w:t xml:space="preserve">0.631</w:t>
            </w:r>
          </w:p>
        </w:tc>
        <w:tc>
          <w:tcPr>
            <w:tcW w:type="dxa" w:w="1500"/>
            <w:shd w:fill="FFFFFF" w:val="clear"/>
            <w:tcMar>
              <w:top w:type="dxa" w:w="65"/>
              <w:left w:type="dxa" w:w="100"/>
              <w:bottom w:type="dxa" w:w="65"/>
              <w:right w:type="dxa" w:w="100"/>
            </w:tcMar>
          </w:tcPr>
          <w:p>
            <w:r>
              <w:rPr>
                <w:sz w:val="18"/>
                <w:szCs w:val="18"/>
              </w:rPr>
              <w:t xml:space="preserve">0.686</w:t>
            </w:r>
          </w:p>
        </w:tc>
        <w:tc>
          <w:tcPr>
            <w:tcW w:type="dxa" w:w="1360"/>
            <w:shd w:fill="FFFFFF" w:val="clear"/>
            <w:tcMar>
              <w:top w:type="dxa" w:w="65"/>
              <w:left w:type="dxa" w:w="100"/>
              <w:bottom w:type="dxa" w:w="65"/>
              <w:right w:type="dxa" w:w="100"/>
            </w:tcMar>
          </w:tcPr>
          <w:p>
            <w:r>
              <w:rPr>
                <w:sz w:val="18"/>
                <w:szCs w:val="18"/>
              </w:rPr>
              <w:t xml:space="preserve">0.735</w:t>
            </w:r>
          </w:p>
        </w:tc>
      </w:tr>
    </w:tbl>
    <w:p>
      <w:pPr>
        <w:spacing w:after="120"/>
      </w:pPr>
    </w:p>
    <w:p>
      <w:pPr>
        <w:spacing w:after="130"/>
      </w:pPr>
      <w:r>
        <w:t xml:space="preserve">Two caveats, stated because they matter. First, this sweep was run against the pre-correction models (Section 6) and should be repeated on the corrected ones. Second, tuning a threshold on the test set is mildly optimistic — it should be tuned on a validation fold and then reported on the test set once.</w:t>
      </w:r>
    </w:p>
    <w:p>
      <w:pPr>
        <w:spacing w:after="130"/>
      </w:pPr>
      <w:r>
        <w:t xml:space="preserve">The practical finding is that 0.5 was already close to optimal for XGBoost, and that the gains available from threshold tuning here are small — a point or two of recall, not a transformation.</w:t>
      </w:r>
    </w:p>
    <w:p>
      <w:r>
        <w:br w:type="page"/>
      </w:r>
    </w:p>
    <w:p>
      <w:pPr>
        <w:pStyle w:val="Heading1"/>
        <w:spacing w:after="130" w:before="300"/>
      </w:pPr>
      <w:r>
        <w:t xml:space="preserve">6. The leakage correction</w:t>
      </w:r>
    </w:p>
    <w:p>
      <w:pPr>
        <w:spacing w:after="130"/>
      </w:pPr>
      <w:r>
        <w:t xml:space="preserve">An earlier version of this analysis reported an AUC of 0.801. That figure was inflated by target leakage and is not the result of this project.</w:t>
      </w:r>
    </w:p>
    <w:p>
      <w:pPr>
        <w:spacing w:after="130"/>
      </w:pPr>
      <w:r>
        <w:t xml:space="preserve">Five features summarised each player's injury history, built by aggregating their entire Transfermarkt record. That record spans 1973–2025 and so contains the very injuries being predicted: 50.9% of all Transfermarkt injury records fall inside the 2020–25 modelling window, and for 54% of players the whole recorded history sits inside it. With a median of three career injuries per player, each aggregate was averaging in roughly a third of its own answer.</w:t>
      </w:r>
    </w:p>
    <w:p>
      <w:pPr>
        <w:spacing w:after="130"/>
      </w:pPr>
      <w:r>
        <w:t xml:space="preserve">The features were rebuilt as-of each injury date, admitting only injuries that began strictly earlier, and all three models were refitted on the identical split, grids and seed.</w:t>
      </w:r>
    </w:p>
    <w:p>
      <w:pPr>
        <w:spacing w:after="60" w:line="240" w:lineRule="auto"/>
      </w:pPr>
      <w:r>
        <w:drawing>
          <wp:inline distT="0" distB="0" distL="0" distR="0">
            <wp:extent cx="3810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885950"/>
                    </a:xfrm>
                    <a:prstGeom prst="rect">
                      <a:avLst/>
                    </a:prstGeom>
                  </pic:spPr>
                </pic:pic>
              </a:graphicData>
            </a:graphic>
          </wp:inline>
        </w:drawing>
      </w:r>
    </w:p>
    <w:p>
      <w:pPr>
        <w:spacing w:after="200"/>
      </w:pPr>
      <w:r>
        <w:rPr>
          <w:i/>
          <w:iCs/>
          <w:color w:val="666666"/>
          <w:sz w:val="17"/>
          <w:szCs w:val="17"/>
        </w:rPr>
        <w:t xml:space="preserve">Figure 4. Test AUC before and after removing the injury-history leak.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200"/>
        <w:gridCol w:w="2060"/>
      </w:tblGrid>
      <w:tr>
        <w:trPr>
          <w:tblHeader/>
        </w:trPr>
        <w:tc>
          <w:tcPr>
            <w:tcW w:type="dxa" w:w="2900"/>
            <w:shd w:fill="1F3864" w:val="clear"/>
            <w:tcMar>
              <w:top w:type="dxa" w:w="80"/>
              <w:left w:type="dxa" w:w="100"/>
              <w:bottom w:type="dxa" w:w="80"/>
              <w:right w:type="dxa" w:w="100"/>
            </w:tcMar>
          </w:tcPr>
          <w:p>
            <w:r>
              <w:rPr>
                <w:b/>
                <w:bCs/>
                <w:color w:val="FFFFFF"/>
                <w:sz w:val="18"/>
                <w:szCs w:val="18"/>
              </w:rPr>
              <w:t xml:space="preserve">Model</w:t>
            </w:r>
          </w:p>
        </w:tc>
        <w:tc>
          <w:tcPr>
            <w:tcW w:type="dxa" w:w="2200"/>
            <w:shd w:fill="1F3864" w:val="clear"/>
            <w:tcMar>
              <w:top w:type="dxa" w:w="80"/>
              <w:left w:type="dxa" w:w="100"/>
              <w:bottom w:type="dxa" w:w="80"/>
              <w:right w:type="dxa" w:w="100"/>
            </w:tcMar>
          </w:tcPr>
          <w:p>
            <w:r>
              <w:rPr>
                <w:b/>
                <w:bCs/>
                <w:color w:val="FFFFFF"/>
                <w:sz w:val="18"/>
                <w:szCs w:val="18"/>
              </w:rPr>
              <w:t xml:space="preserve">AUC (leaked)</w:t>
            </w:r>
          </w:p>
        </w:tc>
        <w:tc>
          <w:tcPr>
            <w:tcW w:type="dxa" w:w="2200"/>
            <w:shd w:fill="1F3864" w:val="clear"/>
            <w:tcMar>
              <w:top w:type="dxa" w:w="80"/>
              <w:left w:type="dxa" w:w="100"/>
              <w:bottom w:type="dxa" w:w="80"/>
              <w:right w:type="dxa" w:w="100"/>
            </w:tcMar>
          </w:tcPr>
          <w:p>
            <w:r>
              <w:rPr>
                <w:b/>
                <w:bCs/>
                <w:color w:val="FFFFFF"/>
                <w:sz w:val="18"/>
                <w:szCs w:val="18"/>
              </w:rPr>
              <w:t xml:space="preserve">AUC (corrected)</w:t>
            </w:r>
          </w:p>
        </w:tc>
        <w:tc>
          <w:tcPr>
            <w:tcW w:type="dxa" w:w="2060"/>
            <w:shd w:fill="1F3864" w:val="clear"/>
            <w:tcMar>
              <w:top w:type="dxa" w:w="80"/>
              <w:left w:type="dxa" w:w="100"/>
              <w:bottom w:type="dxa" w:w="80"/>
              <w:right w:type="dxa" w:w="100"/>
            </w:tcMar>
          </w:tcPr>
          <w:p>
            <w:r>
              <w:rPr>
                <w:b/>
                <w:bCs/>
                <w:color w:val="FFFFFF"/>
                <w:sz w:val="18"/>
                <w:szCs w:val="18"/>
              </w:rPr>
              <w:t xml:space="preserve">Change</w:t>
            </w:r>
          </w:p>
        </w:tc>
      </w:tr>
      <w:tr>
        <w:tc>
          <w:tcPr>
            <w:tcW w:type="dxa" w:w="2900"/>
            <w:shd w:fill="FFFFFF" w:val="clear"/>
            <w:tcMar>
              <w:top w:type="dxa" w:w="65"/>
              <w:left w:type="dxa" w:w="100"/>
              <w:bottom w:type="dxa" w:w="65"/>
              <w:right w:type="dxa" w:w="100"/>
            </w:tcMar>
          </w:tcPr>
          <w:p>
            <w:r>
              <w:rPr>
                <w:sz w:val="18"/>
                <w:szCs w:val="18"/>
              </w:rPr>
              <w:t xml:space="preserve">XGBoost</w:t>
            </w:r>
          </w:p>
        </w:tc>
        <w:tc>
          <w:tcPr>
            <w:tcW w:type="dxa" w:w="2200"/>
            <w:shd w:fill="FFFFFF" w:val="clear"/>
            <w:tcMar>
              <w:top w:type="dxa" w:w="65"/>
              <w:left w:type="dxa" w:w="100"/>
              <w:bottom w:type="dxa" w:w="65"/>
              <w:right w:type="dxa" w:w="100"/>
            </w:tcMar>
          </w:tcPr>
          <w:p>
            <w:r>
              <w:rPr>
                <w:sz w:val="18"/>
                <w:szCs w:val="18"/>
              </w:rPr>
              <w:t xml:space="preserve">0.8012</w:t>
            </w:r>
          </w:p>
        </w:tc>
        <w:tc>
          <w:tcPr>
            <w:tcW w:type="dxa" w:w="2200"/>
            <w:shd w:fill="FFFFFF" w:val="clear"/>
            <w:tcMar>
              <w:top w:type="dxa" w:w="65"/>
              <w:left w:type="dxa" w:w="100"/>
              <w:bottom w:type="dxa" w:w="65"/>
              <w:right w:type="dxa" w:w="100"/>
            </w:tcMar>
          </w:tcPr>
          <w:p>
            <w:r>
              <w:rPr>
                <w:sz w:val="18"/>
                <w:szCs w:val="18"/>
              </w:rPr>
              <w:t xml:space="preserve">0.7472</w:t>
            </w:r>
          </w:p>
        </w:tc>
        <w:tc>
          <w:tcPr>
            <w:tcW w:type="dxa" w:w="2060"/>
            <w:shd w:fill="FFFFFF" w:val="clear"/>
            <w:tcMar>
              <w:top w:type="dxa" w:w="65"/>
              <w:left w:type="dxa" w:w="100"/>
              <w:bottom w:type="dxa" w:w="65"/>
              <w:right w:type="dxa" w:w="100"/>
            </w:tcMar>
          </w:tcPr>
          <w:p>
            <w:r>
              <w:rPr>
                <w:sz w:val="18"/>
                <w:szCs w:val="18"/>
              </w:rPr>
              <w:t xml:space="preserve">−0.0539</w:t>
            </w:r>
          </w:p>
        </w:tc>
      </w:tr>
      <w:tr>
        <w:tc>
          <w:tcPr>
            <w:tcW w:type="dxa" w:w="2900"/>
            <w:shd w:fill="F2F5FA" w:val="clear"/>
            <w:tcMar>
              <w:top w:type="dxa" w:w="65"/>
              <w:left w:type="dxa" w:w="100"/>
              <w:bottom w:type="dxa" w:w="65"/>
              <w:right w:type="dxa" w:w="100"/>
            </w:tcMar>
          </w:tcPr>
          <w:p>
            <w:r>
              <w:rPr>
                <w:sz w:val="18"/>
                <w:szCs w:val="18"/>
              </w:rPr>
              <w:t xml:space="preserve">Random Forest</w:t>
            </w:r>
          </w:p>
        </w:tc>
        <w:tc>
          <w:tcPr>
            <w:tcW w:type="dxa" w:w="2200"/>
            <w:shd w:fill="F2F5FA" w:val="clear"/>
            <w:tcMar>
              <w:top w:type="dxa" w:w="65"/>
              <w:left w:type="dxa" w:w="100"/>
              <w:bottom w:type="dxa" w:w="65"/>
              <w:right w:type="dxa" w:w="100"/>
            </w:tcMar>
          </w:tcPr>
          <w:p>
            <w:r>
              <w:rPr>
                <w:sz w:val="18"/>
                <w:szCs w:val="18"/>
              </w:rPr>
              <w:t xml:space="preserve">0.7921</w:t>
            </w:r>
          </w:p>
        </w:tc>
        <w:tc>
          <w:tcPr>
            <w:tcW w:type="dxa" w:w="2200"/>
            <w:shd w:fill="F2F5FA" w:val="clear"/>
            <w:tcMar>
              <w:top w:type="dxa" w:w="65"/>
              <w:left w:type="dxa" w:w="100"/>
              <w:bottom w:type="dxa" w:w="65"/>
              <w:right w:type="dxa" w:w="100"/>
            </w:tcMar>
          </w:tcPr>
          <w:p>
            <w:r>
              <w:rPr>
                <w:sz w:val="18"/>
                <w:szCs w:val="18"/>
              </w:rPr>
              <w:t xml:space="preserve">0.7435</w:t>
            </w:r>
          </w:p>
        </w:tc>
        <w:tc>
          <w:tcPr>
            <w:tcW w:type="dxa" w:w="2060"/>
            <w:shd w:fill="F2F5FA" w:val="clear"/>
            <w:tcMar>
              <w:top w:type="dxa" w:w="65"/>
              <w:left w:type="dxa" w:w="100"/>
              <w:bottom w:type="dxa" w:w="65"/>
              <w:right w:type="dxa" w:w="100"/>
            </w:tcMar>
          </w:tcPr>
          <w:p>
            <w:r>
              <w:rPr>
                <w:sz w:val="18"/>
                <w:szCs w:val="18"/>
              </w:rPr>
              <w:t xml:space="preserve">−0.0486</w:t>
            </w:r>
          </w:p>
        </w:tc>
      </w:tr>
      <w:tr>
        <w:tc>
          <w:tcPr>
            <w:tcW w:type="dxa" w:w="2900"/>
            <w:shd w:fill="FFFFFF" w:val="clear"/>
            <w:tcMar>
              <w:top w:type="dxa" w:w="65"/>
              <w:left w:type="dxa" w:w="100"/>
              <w:bottom w:type="dxa" w:w="65"/>
              <w:right w:type="dxa" w:w="100"/>
            </w:tcMar>
          </w:tcPr>
          <w:p>
            <w:r>
              <w:rPr>
                <w:sz w:val="18"/>
                <w:szCs w:val="18"/>
              </w:rPr>
              <w:t xml:space="preserve">Logistic Regression</w:t>
            </w:r>
          </w:p>
        </w:tc>
        <w:tc>
          <w:tcPr>
            <w:tcW w:type="dxa" w:w="2200"/>
            <w:shd w:fill="FFFFFF" w:val="clear"/>
            <w:tcMar>
              <w:top w:type="dxa" w:w="65"/>
              <w:left w:type="dxa" w:w="100"/>
              <w:bottom w:type="dxa" w:w="65"/>
              <w:right w:type="dxa" w:w="100"/>
            </w:tcMar>
          </w:tcPr>
          <w:p>
            <w:r>
              <w:rPr>
                <w:sz w:val="18"/>
                <w:szCs w:val="18"/>
              </w:rPr>
              <w:t xml:space="preserve">0.7758</w:t>
            </w:r>
          </w:p>
        </w:tc>
        <w:tc>
          <w:tcPr>
            <w:tcW w:type="dxa" w:w="2200"/>
            <w:shd w:fill="FFFFFF" w:val="clear"/>
            <w:tcMar>
              <w:top w:type="dxa" w:w="65"/>
              <w:left w:type="dxa" w:w="100"/>
              <w:bottom w:type="dxa" w:w="65"/>
              <w:right w:type="dxa" w:w="100"/>
            </w:tcMar>
          </w:tcPr>
          <w:p>
            <w:r>
              <w:rPr>
                <w:sz w:val="18"/>
                <w:szCs w:val="18"/>
              </w:rPr>
              <w:t xml:space="preserve">0.7417</w:t>
            </w:r>
          </w:p>
        </w:tc>
        <w:tc>
          <w:tcPr>
            <w:tcW w:type="dxa" w:w="2060"/>
            <w:shd w:fill="FFFFFF" w:val="clear"/>
            <w:tcMar>
              <w:top w:type="dxa" w:w="65"/>
              <w:left w:type="dxa" w:w="100"/>
              <w:bottom w:type="dxa" w:w="65"/>
              <w:right w:type="dxa" w:w="100"/>
            </w:tcMar>
          </w:tcPr>
          <w:p>
            <w:r>
              <w:rPr>
                <w:sz w:val="18"/>
                <w:szCs w:val="18"/>
              </w:rPr>
              <w:t xml:space="preserve">−0.0341</w:t>
            </w:r>
          </w:p>
        </w:tc>
      </w:tr>
    </w:tbl>
    <w:p>
      <w:pPr>
        <w:spacing w:after="120"/>
      </w:pPr>
    </w:p>
    <w:p>
      <w:pPr>
        <w:spacing w:after="130"/>
      </w:pPr>
      <w:r>
        <w:t xml:space="preserve">The correction cost more from the tree models than from logistic regression, which is what one would expect: tree ensembles are better at exploiting a leaked feature, so they had more to lose. Before the correction XGBoost appeared to beat logistic regression by 2.5 AUC points; afterwards the gap is 0.006. The apparent superiority of gradient boosting on this problem was largely an artefact of the leak.</w:t>
      </w:r>
    </w:p>
    <w:p>
      <w:r>
        <w:br w:type="page"/>
      </w:r>
    </w:p>
    <w:p>
      <w:pPr>
        <w:pStyle w:val="Heading1"/>
        <w:spacing w:after="130" w:before="300"/>
      </w:pPr>
      <w:r>
        <w:t xml:space="preserve">7. Feature importance and interpretation</w:t>
      </w:r>
    </w:p>
    <w:p>
      <w:pPr>
        <w:spacing w:after="60" w:line="240" w:lineRule="auto"/>
      </w:pPr>
      <w:r>
        <w:drawing>
          <wp:inline distT="0" distB="0" distL="0" distR="0">
            <wp:extent cx="3619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390900"/>
                    </a:xfrm>
                    <a:prstGeom prst="rect">
                      <a:avLst/>
                    </a:prstGeom>
                  </pic:spPr>
                </pic:pic>
              </a:graphicData>
            </a:graphic>
          </wp:inline>
        </w:drawing>
      </w:r>
    </w:p>
    <w:p>
      <w:pPr>
        <w:spacing w:after="200"/>
      </w:pPr>
      <w:r>
        <w:rPr>
          <w:i/>
          <w:iCs/>
          <w:color w:val="666666"/>
          <w:sz w:val="17"/>
          <w:szCs w:val="17"/>
        </w:rPr>
        <w:t xml:space="preserve">Figure 5. Mean absolute SHAP value, XGBoost on the corrected feature set.</w:t>
      </w:r>
    </w:p>
    <w:p>
      <w:pPr>
        <w:spacing w:after="130"/>
      </w:pPr>
      <w:r>
        <w:t xml:space="preserve">The model is driven by what kind of injury a player has sustained — illness, the residual "other" category, and knee injuries — not by who the player is. The strongest injury-history feature ranks sixth at 0.10, against 0.69 for the leaked equivalent before correction.</w:t>
      </w:r>
    </w:p>
    <w:p>
      <w:pPr>
        <w:spacing w:after="130"/>
      </w:pPr>
      <w:r>
        <w:t xml:space="preserve">This is independently corroborated by the Phase 3 chi-square tests, where injury category scores 2,165.6 against severity, an order of magnitude above league (235.7) or position (24.7). Two separate methods point at the same conclusion.</w:t>
      </w:r>
    </w:p>
    <w:p>
      <w:pPr>
        <w:spacing w:after="130"/>
      </w:pPr>
      <w:r>
        <w:t xml:space="preserve">For a medical department the implication is that the model supports triage by diagnosis at the point of assessment, and does not support profiling players by their injury record.</w:t>
      </w:r>
    </w:p>
    <w:p>
      <w:pPr>
        <w:pStyle w:val="Heading1"/>
        <w:spacing w:after="130" w:before="300"/>
      </w:pPr>
      <w:r>
        <w:t xml:space="preserve">8. Limitations of the modelling</w:t>
      </w:r>
    </w:p>
    <w:p>
      <w:pPr>
        <w:pStyle w:val="ListParagraph"/>
        <w:numPr>
          <w:ilvl w:val="0"/>
          <w:numId w:val="1"/>
        </w:numPr>
        <w:spacing w:after="80"/>
      </w:pPr>
      <w:r>
        <w:t xml:space="preserve">One feature still looks ahead. injuries_in_dataset counts a player's injuries across the whole 2020–25 window, so it uses information from after the prediction point. It ranks third in the SHAP chart. It is milder than the corrected leak — it counts injuries without encoding their outcomes — but it should be made as-of or dropped.</w:t>
      </w:r>
    </w:p>
    <w:p>
      <w:pPr>
        <w:pStyle w:val="ListParagraph"/>
        <w:numPr>
          <w:ilvl w:val="0"/>
          <w:numId w:val="1"/>
        </w:numPr>
        <w:spacing w:after="80"/>
      </w:pPr>
      <w:r>
        <w:t xml:space="preserve">No exposure data. Minutes played, training load, match congestion and travel are unavailable and are among the strongest known injury predictors in the sports-science literature. This caps achievable performance regardless of model choice.</w:t>
      </w:r>
    </w:p>
    <w:p>
      <w:pPr>
        <w:pStyle w:val="ListParagraph"/>
        <w:numPr>
          <w:ilvl w:val="0"/>
          <w:numId w:val="1"/>
        </w:numPr>
        <w:spacing w:after="80"/>
      </w:pPr>
      <w:r>
        <w:t xml:space="preserve">Threshold tuning is stale and mildly optimistic, as noted in Section 5.</w:t>
      </w:r>
    </w:p>
    <w:p>
      <w:pPr>
        <w:pStyle w:val="ListParagraph"/>
        <w:numPr>
          <w:ilvl w:val="0"/>
          <w:numId w:val="1"/>
        </w:numPr>
        <w:spacing w:after="80"/>
      </w:pPr>
      <w:r>
        <w:t xml:space="preserve">Only recorded injuries appear in the data, so the model learns the severity distribution of reported injuries rather than of all injuries.</w:t>
      </w:r>
    </w:p>
    <w:p>
      <w:pPr>
        <w:pStyle w:val="ListParagraph"/>
        <w:numPr>
          <w:ilvl w:val="0"/>
          <w:numId w:val="1"/>
        </w:numPr>
        <w:spacing w:after="80"/>
      </w:pPr>
      <w:r>
        <w:t xml:space="preserve">Logistic regression violates the linearity-of-the-logit assumption for height and player age. It was predicted on that basis to place last, and it does — but by 0.006 AUC, which is too small to treat as a confirmed prediction.</w:t>
      </w:r>
    </w:p>
    <w:p>
      <w:r>
        <w:br w:type="page"/>
      </w:r>
    </w:p>
    <w:p>
      <w:pPr>
        <w:pStyle w:val="Heading1"/>
        <w:spacing w:after="130" w:before="300"/>
      </w:pPr>
      <w:r>
        <w:t xml:space="preserve">Appendix A. Pre-correction figures</w:t>
      </w:r>
    </w:p>
    <w:p>
      <w:pPr>
        <w:spacing w:after="130"/>
      </w:pPr>
      <w:r>
        <w:t xml:space="preserve">Retained for transparency. These are the results before the injury-history leak was found and repaired, and they should not be quoted as the project's findings.</w:t>
      </w:r>
    </w:p>
    <w:p>
      <w:pPr>
        <w:spacing w:after="60" w:line="240" w:lineRule="auto"/>
      </w:pPr>
      <w:r>
        <w:drawing>
          <wp:inline distT="0" distB="0" distL="0" distR="0">
            <wp:extent cx="44577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1447800"/>
                    </a:xfrm>
                    <a:prstGeom prst="rect">
                      <a:avLst/>
                    </a:prstGeom>
                  </pic:spPr>
                </pic:pic>
              </a:graphicData>
            </a:graphic>
          </wp:inline>
        </w:drawing>
      </w:r>
    </w:p>
    <w:p>
      <w:pPr>
        <w:spacing w:after="200"/>
      </w:pPr>
      <w:r>
        <w:rPr>
          <w:i/>
          <w:iCs/>
          <w:color w:val="666666"/>
          <w:sz w:val="17"/>
          <w:szCs w:val="17"/>
        </w:rPr>
        <w:t xml:space="preserve">Figure A1. Model comparison on the leaked feature set — XGBoost AUC 0.801.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240" w:lineRule="auto"/>
            </w:pPr>
            <w:r>
              <w:drawing>
                <wp:inline distT="0" distB="0" distL="0" distR="0">
                  <wp:extent cx="22479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47900" cy="15906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line="240" w:lineRule="auto"/>
            </w:pPr>
            <w:r>
              <w:drawing>
                <wp:inline distT="0" distB="0" distL="0" distR="0">
                  <wp:extent cx="20383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38350" cy="1828800"/>
                          </a:xfrm>
                          <a:prstGeom prst="rect">
                            <a:avLst/>
                          </a:prstGeom>
                        </pic:spPr>
                      </pic:pic>
                    </a:graphicData>
                  </a:graphic>
                </wp:inline>
              </w:drawing>
            </w:r>
          </w:p>
        </w:tc>
      </w:tr>
    </w:tbl>
    <w:p>
      <w:pPr>
        <w:spacing w:after="200"/>
      </w:pPr>
      <w:r>
        <w:rPr>
          <w:i/>
          <w:iCs/>
          <w:color w:val="666666"/>
          <w:sz w:val="17"/>
          <w:szCs w:val="17"/>
        </w:rPr>
        <w:t xml:space="preserve">Figure A2. XGBoost on the leaked feature set — 1,013 severe injuries caught against 963 after correction, at a visibly better-looking AUC of 0.801.</w:t>
      </w:r>
    </w:p>
    <w:p>
      <w:pPr>
        <w:spacing w:after="60" w:line="240" w:lineRule="auto"/>
      </w:pPr>
      <w:r>
        <w:drawing>
          <wp:inline distT="0" distB="0" distL="0" distR="0">
            <wp:extent cx="3238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3038475"/>
                    </a:xfrm>
                    <a:prstGeom prst="rect">
                      <a:avLst/>
                    </a:prstGeom>
                  </pic:spPr>
                </pic:pic>
              </a:graphicData>
            </a:graphic>
          </wp:inline>
        </w:drawing>
      </w:r>
    </w:p>
    <w:p>
      <w:pPr>
        <w:spacing w:after="200"/>
      </w:pPr>
      <w:r>
        <w:rPr>
          <w:i/>
          <w:iCs/>
          <w:color w:val="666666"/>
          <w:sz w:val="17"/>
          <w:szCs w:val="17"/>
        </w:rPr>
        <w:t xml:space="preserve">Figure A3. SHAP on the leaked feature set. avg_days_missed dominates at 0.69, roughly 1.5× the next feature — the pattern that prompted the audit.</w:t>
      </w:r>
    </w:p>
    <w:p>
      <w:pPr>
        <w:spacing w:after="120"/>
      </w:pPr>
    </w:p>
    <w:p>
      <w:pPr>
        <w:pBdr>
          <w:top w:val="single" w:color="CCCCCC" w:sz="4"/>
        </w:pBdr>
        <w:spacing w:before="200"/>
      </w:pPr>
      <w:r>
        <w:rPr>
          <w:i/>
          <w:iCs/>
          <w:color w:val="666666"/>
          <w:sz w:val="18"/>
          <w:szCs w:val="18"/>
        </w:rPr>
        <w:t xml:space="preserve">All figures are reproduced by the Phase 5 and Phase 5b cells of WAI_Soccer_Injury_Prediction.ipynb. Metrics are computed on the held-out test set of 3,906 injuries, split by player so that no individual appears in both training and test data.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496"/>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afd9b06c1a33d784e3e98f67702d333fa0cdcf.png"/><Relationship Id="rId8" Type="http://schemas.openxmlformats.org/officeDocument/2006/relationships/image" Target="media/d33789cbecf957d85a4ade787eacf07d7e644c56.png"/><Relationship Id="rId9" Type="http://schemas.openxmlformats.org/officeDocument/2006/relationships/image" Target="media/5f2c2e033332ae1c8877452056a33bbb764444d7.png"/><Relationship Id="rId10" Type="http://schemas.openxmlformats.org/officeDocument/2006/relationships/image" Target="media/8507bcbc60dcf7ee542b5b765345e77ecfedc28a.png"/><Relationship Id="rId11" Type="http://schemas.openxmlformats.org/officeDocument/2006/relationships/image" Target="media/89ef292b76b31026c17d953c6dbda2d96622b094.png"/><Relationship Id="rId12" Type="http://schemas.openxmlformats.org/officeDocument/2006/relationships/image" Target="media/a4152cae226d959ca06314e33852f7a63d09253b.png"/><Relationship Id="rId13" Type="http://schemas.openxmlformats.org/officeDocument/2006/relationships/image" Target="media/52dfcfc3e9e960268211e14e19b90aa3125a7ffa.png"/><Relationship Id="rId14" Type="http://schemas.openxmlformats.org/officeDocument/2006/relationships/image" Target="media/b869c8450fe15f8755548fb491cb92aec73b34a9.png"/><Relationship Id="rId15" Type="http://schemas.openxmlformats.org/officeDocument/2006/relationships/image" Target="media/0dce37d9f6791c7637d6aba1fca33e52c15ecf03.png"/><Relationship Id="rId16" Type="http://schemas.openxmlformats.org/officeDocument/2006/relationships/image" Target="media/170364bdde25187161a59bbea675d4e9deca39ec.png"/><Relationship Id="rId17" Type="http://schemas.openxmlformats.org/officeDocument/2006/relationships/image" Target="media/4f20b55cf6077240e868812480d7f44d12ce9c22.png"/><Relationship Id="rId18" Type="http://schemas.openxmlformats.org/officeDocument/2006/relationships/image" Target="media/84d196397c03f4c3d3452c44259aa271854f3d0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2026-08-31T18:44:46.067Z</dcterms:created>
  <dcterms:modified xsi:type="dcterms:W3CDTF">2026-08-31T18:44:46.067Z</dcterms:modified>
</cp:coreProperties>
</file>

<file path=docProps/custom.xml><?xml version="1.0" encoding="utf-8"?>
<Properties xmlns="http://schemas.openxmlformats.org/officeDocument/2006/custom-properties" xmlns:vt="http://schemas.openxmlformats.org/officeDocument/2006/docPropsVTypes"/>
</file>