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/>
      </w:pPr>
      <w:r>
        <w:rPr>
          <w:rFonts w:ascii="Calibri" w:cs="Calibri" w:eastAsia="Calibri" w:hAnsi="Calibri"/>
          <w:b/>
          <w:bCs/>
          <w:color w:val="1A1A1A"/>
          <w:spacing w:val="10"/>
          <w:sz w:val="34"/>
          <w:szCs w:val="34"/>
        </w:rPr>
        <w:t xml:space="preserve">SHREYASH PATEKAR</w:t>
      </w:r>
    </w:p>
    <w:p>
      <w:pPr>
        <w:spacing w:after="8"/>
      </w:pPr>
      <w:r>
        <w:rPr>
          <w:rFonts w:ascii="Calibri" w:cs="Calibri" w:eastAsia="Calibri" w:hAnsi="Calibri"/>
          <w:b/>
          <w:bCs/>
          <w:color w:val="8A1414"/>
          <w:sz w:val="19"/>
          <w:szCs w:val="19"/>
        </w:rPr>
        <w:t xml:space="preserve">Product / UX Designer — Enterprise SaaS &amp; AI-Assisted Design Workflows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Mumbai, India   |   +91 73046 33562   |   shreyashpatekar10@gmail.com   |   shreyash.cp@somaiya.edu</w:t>
      </w:r>
    </w:p>
    <w:p>
      <w:pPr>
        <w:pBdr>
          <w:bottom w:val="single" w:color="999999" w:sz="6" w:space="1"/>
        </w:pBdr>
        <w:spacing w:after="120"/>
      </w:pPr>
    </w:p>
    <w:p>
      <w:pPr>
        <w:pBdr>
          <w:bottom w:val="single" w:color="8A1414" w:sz="8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8A1414"/>
          <w:spacing w:val="10"/>
          <w:sz w:val="21"/>
          <w:szCs w:val="21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UI/UX Designer with hands-on experience shipping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6+ enterprise SaaS products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across HR-tech, EdTech, and sales-intelligence during a six-month industry internship, plus an independent,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primary-research-backed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product built for a peer-reviewed paper. Comfortable sitting between business stakeholders, developers, and end users — translating requirements and technical audits into user flows, then executing at scale using a self-built, structured AI-assisted design pipeline (written system specs → phased prompt architecture → high-fidelity UI → developer handoff).</w:t>
      </w:r>
    </w:p>
    <w:p>
      <w:pPr>
        <w:pBdr>
          <w:bottom w:val="single" w:color="8A1414" w:sz="8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8A1414"/>
          <w:spacing w:val="10"/>
          <w:sz w:val="21"/>
          <w:szCs w:val="21"/>
        </w:rPr>
        <w:t xml:space="preserve">EXPERIENCE</w:t>
      </w:r>
    </w:p>
    <w:p>
      <w:pPr>
        <w:tabs>
          <w:tab w:val="right" w:pos="9020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UI/UX Design Intern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T&amp;M AI and IT Solutions Pvt. Ltd. (AIVision21)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Feb 2026 – Jul 2026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Mumbai, India  ·  Worked directly with the technical/product team across 6+ SaaS portals under tight, director-set timelines.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Requirement &amp; system audit: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Ran requirement sessions with the Director for new builds; for existing products, took full knowledge transfer from developers and personally audited every screen and flow to identify UX gaps the dev-first build had skipped (navigation, hierarchy, feedback states, accessibility).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Design-system-first process: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Authored a written system-guideline (design brief) for every product before any screen was designed — covering product purpose, users, color/typography/spacing tokens, component rules, and curated icon/illustration/reference libraries — so visual language was intentional and consistent, not ad hoc.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Structured AI-assisted execution: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Converted paper wireframes and whiteboard flows into a phased, screen-by-screen prompt sequence and used it to drive Claude/Figma AI for high-fidelity UI generation — a repeatable pipeline that let one designer credibly cover 6+ full products.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Developer handoff: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Packaged and delivered implementation-ready design/code artifacts, then worked directly with developers to resolve UI-to-frontend implementation questions.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Selected products designed:</w:t>
      </w:r>
    </w:p>
    <w:p>
      <w:pPr>
        <w:pStyle w:val="ListParagraph"/>
        <w:numPr>
          <w:ilvl w:val="1"/>
          <w:numId w:val="1"/>
        </w:numPr>
        <w:spacing w:after="25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LearningVision — role-based Student, Professor and Supervisor portals for an AI learning platform (dashboards, batch/course management, supervisor management, analytics).</w:t>
      </w:r>
    </w:p>
    <w:p>
      <w:pPr>
        <w:pStyle w:val="ListParagraph"/>
        <w:numPr>
          <w:ilvl w:val="1"/>
          <w:numId w:val="1"/>
        </w:numPr>
        <w:spacing w:after="25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HRMS — employee onboarding with KYC, audit-trail logging, and a 5-module offboarding suite (exit initiation, clearance tracker, F&amp;F settlement, completion audit log, offboarding dashboard).</w:t>
      </w:r>
    </w:p>
    <w:p>
      <w:pPr>
        <w:pStyle w:val="ListParagraph"/>
        <w:numPr>
          <w:ilvl w:val="1"/>
          <w:numId w:val="1"/>
        </w:numPr>
        <w:spacing w:after="25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PeopleVision — attendance and workforce-analytics module with location/outdoor tracking, org hierarchy views, and reporting dashboards.</w:t>
      </w:r>
    </w:p>
    <w:p>
      <w:pPr>
        <w:pStyle w:val="ListParagraph"/>
        <w:numPr>
          <w:ilvl w:val="1"/>
          <w:numId w:val="1"/>
        </w:numPr>
        <w:spacing w:after="25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SalesVision — sales-intelligence SaaS platform UI.</w:t>
      </w:r>
    </w:p>
    <w:p>
      <w:pPr>
        <w:pStyle w:val="ListParagraph"/>
        <w:numPr>
          <w:ilvl w:val="1"/>
          <w:numId w:val="1"/>
        </w:numPr>
        <w:spacing w:after="25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EduVision / Prep — career-prep / learning product UI.</w:t>
      </w:r>
    </w:p>
    <w:p>
      <w:pPr>
        <w:pBdr>
          <w:bottom w:val="single" w:color="8A1414" w:sz="8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8A1414"/>
          <w:spacing w:val="10"/>
          <w:sz w:val="21"/>
          <w:szCs w:val="21"/>
        </w:rPr>
        <w:t xml:space="preserve">INDEPENDENT RESEARCH &amp; PRODUCT — NURTURESYNC</w:t>
      </w:r>
    </w:p>
    <w:p>
      <w:pPr>
        <w:tabs>
          <w:tab w:val="right" w:pos="9020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UX Researcher &amp; Designer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Independent — supporting a peer-reviewed research paper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Problem framing: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Started from a personal, firsthand privacy concern with existing period-tracking apps, then ran secondary research (AI-assisted, via Perplexity) across competitor apps before concluding internet-only research wasn't sufficient evidence to design from.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Primary research design: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ran a longitudinal mixed-methods study — 10 participants (ages 18–35) completing 22 structured check-ins over a 30-day cycle via custom Google Forms, rating emotional state, physical comfort, energy, and mental clarity (1–10 scale) alongside open-ended responses.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Findings that shaped the design: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Identified a continuous affective spectrum rather than a simple "good/bad" cycle — including a 68% energy decline at the monthly trough, an 83% drop in check-in completion near the end of the cycle, and 80% of participants declining to answer libido-related questions — directly informing check-in length, timing, and privacy/Safe Mode design decisions.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From research to UI: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Synthesized findings through Design Thinking (paper, whiteboard, iterative brainstorming) into 7 core product principles — emotion logging, mood trends, trigger/cause tagging, contextual coping suggestions, cycle-aware experience, privacy/Safe Mode, and an emotionally adaptive UI — then used a self-authored system-guideline and phased AI-assisted prompting to build the high-fidelity product.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Outcome: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Co-authored paper, "Emotionally Adaptive UI/UX for Menstrual Cycle Tracking," submitted to Sexual and Reproductive Health Matters — currently under review.</w:t>
      </w:r>
    </w:p>
    <w:p>
      <w:pPr>
        <w:pBdr>
          <w:bottom w:val="single" w:color="8A1414" w:sz="8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8A1414"/>
          <w:spacing w:val="10"/>
          <w:sz w:val="21"/>
          <w:szCs w:val="21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Design: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Figma, Design Systems &amp; Tokens, Wireframing (paper-first), Prototyping, Information Architecture, Usability Review, Adobe Photoshop, Canva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Research: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Longitudinal Study Design, Google Forms Survey Design, Primary/Secondary Research, Design Thinking, Thematic Synthesis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AI-Assisted Design: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Structured prompt architecture, Claude (design execution), Figma AI, AI-assisted research synthesis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Technical: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HTML, CSS, JavaScript, PHP, SQL</w:t>
      </w:r>
    </w:p>
    <w:p>
      <w:pPr>
        <w:pBdr>
          <w:bottom w:val="single" w:color="8A1414" w:sz="8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8A1414"/>
          <w:spacing w:val="10"/>
          <w:sz w:val="21"/>
          <w:szCs w:val="21"/>
        </w:rPr>
        <w:t xml:space="preserve">EDUCATION</w:t>
      </w:r>
    </w:p>
    <w:p>
      <w:pPr>
        <w:tabs>
          <w:tab w:val="right" w:pos="9020"/>
        </w:tabs>
        <w:spacing w:after="12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MCA — K. J. Somaiya Institute of Management, Somaiya Vidyavihar University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CGPA 7.61, 2026</w:t>
      </w:r>
    </w:p>
    <w:p>
      <w:pPr>
        <w:tabs>
          <w:tab w:val="right" w:pos="9020"/>
        </w:tabs>
        <w:spacing w:after="12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B.Com — Dr. Ambedkar College of Commerce &amp; Economics, Mumbai University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71.42%, 2023</w:t>
      </w:r>
    </w:p>
    <w:p>
      <w:pPr>
        <w:pBdr>
          <w:bottom w:val="single" w:color="8A1414" w:sz="8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8A1414"/>
          <w:spacing w:val="10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Start the UX Design Process: Empathize, Define, and Ideate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Conduct UX Research and Test Early Concepts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Build Wireframes and Low-Fidelity Prototypes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Visual Elements of User Interface Design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Create High-Fidelity Designs and Prototypes in Figma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Build Dynamic User Interfaces (UI) for Websites</w:t>
      </w:r>
    </w:p>
    <w:sectPr>
      <w:pgSz w:w="12240" w:h="15840" w:orient="portrait"/>
      <w:pgMar w:top="320" w:right="700" w:bottom="3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  <w:lvl w:ilvl="1" w15:tentative="1">
      <w:start w:val="1"/>
      <w:numFmt w:val="bullet"/>
      <w:lvlText w:val="◦"/>
      <w:lvlJc w:val="left"/>
      <w:pPr>
        <w:ind w:left="5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2026-09-03T09:30:42.790Z</dcterms:created>
  <dcterms:modified xsi:type="dcterms:W3CDTF">2026-09-03T09:30:42.801Z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