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DCF5D" w14:textId="77777777" w:rsidR="0014572F" w:rsidRDefault="00000000">
      <w:pPr>
        <w:spacing w:after="40"/>
        <w:jc w:val="center"/>
      </w:pPr>
      <w:r>
        <w:rPr>
          <w:rFonts w:ascii="Calibri" w:eastAsia="Calibri" w:hAnsi="Calibri" w:cs="Calibri"/>
          <w:b/>
          <w:bCs/>
          <w:color w:val="1F2937"/>
          <w:sz w:val="32"/>
          <w:szCs w:val="32"/>
        </w:rPr>
        <w:t>Aksharaa Bhobe</w:t>
      </w:r>
    </w:p>
    <w:p w14:paraId="31E8E506" w14:textId="77777777" w:rsidR="0014572F" w:rsidRDefault="00000000">
      <w:pPr>
        <w:spacing w:after="120"/>
        <w:jc w:val="center"/>
      </w:pPr>
      <w:r>
        <w:rPr>
          <w:rFonts w:ascii="Calibri" w:eastAsia="Calibri" w:hAnsi="Calibri" w:cs="Calibri"/>
          <w:sz w:val="18"/>
          <w:szCs w:val="18"/>
        </w:rPr>
        <w:t xml:space="preserve">akshbhobe@gmail.com  |  +1 773-200-5464  |  </w:t>
      </w:r>
      <w:hyperlink r:id="rId5" w:history="1">
        <w:r>
          <w:rPr>
            <w:rFonts w:ascii="Calibri" w:eastAsia="Calibri" w:hAnsi="Calibri" w:cs="Calibri"/>
            <w:color w:val="1155CC"/>
            <w:sz w:val="18"/>
            <w:szCs w:val="18"/>
            <w:u w:val="single"/>
          </w:rPr>
          <w:t>linkedin.com/in/</w:t>
        </w:r>
        <w:proofErr w:type="spellStart"/>
        <w:r>
          <w:rPr>
            <w:rFonts w:ascii="Calibri" w:eastAsia="Calibri" w:hAnsi="Calibri" w:cs="Calibri"/>
            <w:color w:val="1155CC"/>
            <w:sz w:val="18"/>
            <w:szCs w:val="18"/>
            <w:u w:val="single"/>
          </w:rPr>
          <w:t>aksharaa-bhobe</w:t>
        </w:r>
        <w:proofErr w:type="spellEnd"/>
      </w:hyperlink>
      <w:r>
        <w:rPr>
          <w:rFonts w:ascii="Calibri" w:eastAsia="Calibri" w:hAnsi="Calibri" w:cs="Calibri"/>
          <w:sz w:val="18"/>
          <w:szCs w:val="18"/>
        </w:rPr>
        <w:t xml:space="preserve">  |  </w:t>
      </w:r>
      <w:hyperlink r:id="rId6" w:history="1">
        <w:r>
          <w:rPr>
            <w:rFonts w:ascii="Calibri" w:eastAsia="Calibri" w:hAnsi="Calibri" w:cs="Calibri"/>
            <w:color w:val="1155CC"/>
            <w:sz w:val="18"/>
            <w:szCs w:val="18"/>
            <w:u w:val="single"/>
          </w:rPr>
          <w:t>My Portfolio</w:t>
        </w:r>
      </w:hyperlink>
    </w:p>
    <w:p w14:paraId="4EA6E089" w14:textId="77777777" w:rsidR="0014572F" w:rsidRDefault="00000000">
      <w:pPr>
        <w:pBdr>
          <w:bottom w:val="single" w:sz="4" w:space="2" w:color="AAAAAA"/>
        </w:pBdr>
        <w:spacing w:before="130" w:after="40"/>
      </w:pPr>
      <w:r>
        <w:rPr>
          <w:rFonts w:ascii="Calibri" w:eastAsia="Calibri" w:hAnsi="Calibri" w:cs="Calibri"/>
          <w:b/>
          <w:bCs/>
          <w:color w:val="1F2937"/>
          <w:sz w:val="19"/>
          <w:szCs w:val="19"/>
        </w:rPr>
        <w:t>PROFESSIONAL SUMMARY</w:t>
      </w:r>
    </w:p>
    <w:p w14:paraId="7300BAF0" w14:textId="6E24D8ED" w:rsidR="0014572F" w:rsidRPr="0041798A" w:rsidRDefault="00000000">
      <w:pPr>
        <w:spacing w:after="20"/>
        <w:rPr>
          <w:rFonts w:ascii="Calibri" w:hAnsi="Calibri" w:cs="Calibri"/>
          <w:sz w:val="19"/>
          <w:szCs w:val="19"/>
        </w:rPr>
      </w:pPr>
      <w:r w:rsidRPr="0041798A">
        <w:rPr>
          <w:rFonts w:ascii="Calibri" w:eastAsia="Calibri" w:hAnsi="Calibri" w:cs="Calibri"/>
          <w:sz w:val="19"/>
          <w:szCs w:val="19"/>
        </w:rPr>
        <w:t xml:space="preserve">Analytical, client-facing consumer insights and brand strategy professional </w:t>
      </w:r>
      <w:r w:rsidR="0041798A" w:rsidRPr="0041798A">
        <w:rPr>
          <w:rFonts w:ascii="Calibri" w:hAnsi="Calibri" w:cs="Calibri"/>
          <w:sz w:val="19"/>
          <w:szCs w:val="19"/>
        </w:rPr>
        <w:t>grounded in economics</w:t>
      </w:r>
      <w:r w:rsidR="0041798A" w:rsidRPr="0041798A">
        <w:rPr>
          <w:rFonts w:ascii="Calibri" w:hAnsi="Calibri" w:cs="Calibri"/>
          <w:sz w:val="19"/>
          <w:szCs w:val="19"/>
        </w:rPr>
        <w:t xml:space="preserve">, marketing and </w:t>
      </w:r>
      <w:proofErr w:type="spellStart"/>
      <w:r w:rsidR="0041798A" w:rsidRPr="0041798A">
        <w:rPr>
          <w:rFonts w:ascii="Calibri" w:hAnsi="Calibri" w:cs="Calibri"/>
          <w:sz w:val="19"/>
          <w:szCs w:val="19"/>
        </w:rPr>
        <w:t>behavioral</w:t>
      </w:r>
      <w:proofErr w:type="spellEnd"/>
      <w:r w:rsidR="0041798A" w:rsidRPr="0041798A">
        <w:rPr>
          <w:rFonts w:ascii="Calibri" w:hAnsi="Calibri" w:cs="Calibri"/>
          <w:sz w:val="19"/>
          <w:szCs w:val="19"/>
        </w:rPr>
        <w:t xml:space="preserve"> science, drawn to the questions data alone cannot answer. Pairs quantitative analysis and segmentation with ethnographic fieldwork, in-depth interviews, and phenomenological analysis across international markets, moving from a business problem to the tensions and meanings behind people's decisions, and from there to brand and growth strategy. Completing an MS in Integrated Marketing Communications at Northwestern Medill (GPA 3.93), December 2026.</w:t>
      </w:r>
    </w:p>
    <w:p w14:paraId="7E107ADA" w14:textId="77777777" w:rsidR="0014572F" w:rsidRDefault="00000000">
      <w:pPr>
        <w:pBdr>
          <w:bottom w:val="single" w:sz="4" w:space="2" w:color="AAAAAA"/>
        </w:pBdr>
        <w:spacing w:before="130" w:after="40"/>
      </w:pPr>
      <w:r>
        <w:rPr>
          <w:rFonts w:ascii="Calibri" w:eastAsia="Calibri" w:hAnsi="Calibri" w:cs="Calibri"/>
          <w:b/>
          <w:bCs/>
          <w:color w:val="1F2937"/>
          <w:sz w:val="19"/>
          <w:szCs w:val="19"/>
        </w:rPr>
        <w:t>EDUCATION</w:t>
      </w:r>
    </w:p>
    <w:p w14:paraId="5945EC2A" w14:textId="77777777" w:rsidR="0014572F" w:rsidRDefault="00000000">
      <w:pPr>
        <w:tabs>
          <w:tab w:val="right" w:pos="10800"/>
        </w:tabs>
        <w:spacing w:before="40"/>
      </w:pPr>
      <w:r>
        <w:rPr>
          <w:rFonts w:ascii="Calibri" w:eastAsia="Calibri" w:hAnsi="Calibri" w:cs="Calibri"/>
          <w:b/>
          <w:bCs/>
          <w:color w:val="1F2937"/>
        </w:rPr>
        <w:t>Northwestern University, Medill School of Journalism — MS, Integrated Marketing Communication</w:t>
      </w:r>
      <w:r>
        <w:tab/>
      </w:r>
      <w:r>
        <w:rPr>
          <w:rFonts w:ascii="Calibri" w:eastAsia="Calibri" w:hAnsi="Calibri" w:cs="Calibri"/>
          <w:color w:val="1F2937"/>
        </w:rPr>
        <w:t>Expected Dec 2026</w:t>
      </w:r>
    </w:p>
    <w:p w14:paraId="6A81E18B" w14:textId="77777777" w:rsidR="0014572F" w:rsidRDefault="00000000">
      <w:pPr>
        <w:spacing w:after="20"/>
      </w:pPr>
      <w:r>
        <w:rPr>
          <w:rFonts w:ascii="Calibri" w:eastAsia="Calibri" w:hAnsi="Calibri" w:cs="Calibri"/>
          <w:i/>
          <w:iCs/>
          <w:color w:val="555555"/>
          <w:sz w:val="19"/>
          <w:szCs w:val="19"/>
        </w:rPr>
        <w:t>GPA: 3.93  |  Selected as Grader, IMC 401 Consumer Insight (Fall 2026)</w:t>
      </w:r>
    </w:p>
    <w:p w14:paraId="13B68CFB" w14:textId="77777777" w:rsidR="0014572F" w:rsidRDefault="00000000">
      <w:pPr>
        <w:tabs>
          <w:tab w:val="right" w:pos="10800"/>
        </w:tabs>
        <w:spacing w:before="40"/>
      </w:pPr>
      <w:r>
        <w:rPr>
          <w:rFonts w:ascii="Calibri" w:eastAsia="Calibri" w:hAnsi="Calibri" w:cs="Calibri"/>
          <w:b/>
          <w:bCs/>
          <w:color w:val="1F2937"/>
        </w:rPr>
        <w:t>FLAME University — Postgraduate Diploma, Interdisciplinary Studies and Research (FLAME Scholars Program)</w:t>
      </w:r>
      <w:r>
        <w:tab/>
      </w:r>
      <w:r>
        <w:rPr>
          <w:rFonts w:ascii="Calibri" w:eastAsia="Calibri" w:hAnsi="Calibri" w:cs="Calibri"/>
          <w:color w:val="1F2937"/>
        </w:rPr>
        <w:t>2022 – 2023</w:t>
      </w:r>
    </w:p>
    <w:p w14:paraId="5D4B39D8" w14:textId="77777777" w:rsidR="0014572F" w:rsidRDefault="00000000">
      <w:pPr>
        <w:spacing w:after="20"/>
      </w:pPr>
      <w:r>
        <w:rPr>
          <w:rFonts w:ascii="Calibri" w:eastAsia="Calibri" w:hAnsi="Calibri" w:cs="Calibri"/>
          <w:i/>
          <w:iCs/>
          <w:color w:val="555555"/>
          <w:sz w:val="19"/>
          <w:szCs w:val="19"/>
        </w:rPr>
        <w:t>GPA: 8.47/10; Academic Merit Scholarship</w:t>
      </w:r>
    </w:p>
    <w:p w14:paraId="29F70A4F" w14:textId="77777777" w:rsidR="0014572F" w:rsidRDefault="00000000">
      <w:pPr>
        <w:tabs>
          <w:tab w:val="right" w:pos="10800"/>
        </w:tabs>
        <w:spacing w:before="40"/>
      </w:pPr>
      <w:r>
        <w:rPr>
          <w:rFonts w:ascii="Calibri" w:eastAsia="Calibri" w:hAnsi="Calibri" w:cs="Calibri"/>
          <w:b/>
          <w:bCs/>
          <w:color w:val="1F2937"/>
        </w:rPr>
        <w:t>FLAME University — BBA, Communications Management</w:t>
      </w:r>
      <w:r>
        <w:tab/>
      </w:r>
      <w:r>
        <w:rPr>
          <w:rFonts w:ascii="Calibri" w:eastAsia="Calibri" w:hAnsi="Calibri" w:cs="Calibri"/>
          <w:color w:val="1F2937"/>
        </w:rPr>
        <w:t>2019 – 2022</w:t>
      </w:r>
    </w:p>
    <w:p w14:paraId="05532F53" w14:textId="77777777" w:rsidR="0014572F" w:rsidRDefault="00000000">
      <w:pPr>
        <w:spacing w:after="20"/>
      </w:pPr>
      <w:r>
        <w:rPr>
          <w:rFonts w:ascii="Calibri" w:eastAsia="Calibri" w:hAnsi="Calibri" w:cs="Calibri"/>
          <w:i/>
          <w:iCs/>
          <w:color w:val="555555"/>
          <w:sz w:val="19"/>
          <w:szCs w:val="19"/>
        </w:rPr>
        <w:t>Class Rank: 2/46  |  GPA: 8.5/10  |  Silver Medal (2022); Dean's Roll of Honor, all semesters</w:t>
      </w:r>
    </w:p>
    <w:p w14:paraId="634B4696" w14:textId="77777777" w:rsidR="0014572F" w:rsidRDefault="00000000">
      <w:pPr>
        <w:pBdr>
          <w:bottom w:val="single" w:sz="4" w:space="2" w:color="AAAAAA"/>
        </w:pBdr>
        <w:spacing w:before="130" w:after="40"/>
      </w:pPr>
      <w:r>
        <w:rPr>
          <w:rFonts w:ascii="Calibri" w:eastAsia="Calibri" w:hAnsi="Calibri" w:cs="Calibri"/>
          <w:b/>
          <w:bCs/>
          <w:color w:val="1F2937"/>
          <w:sz w:val="19"/>
          <w:szCs w:val="19"/>
        </w:rPr>
        <w:t>EXPERIENCE</w:t>
      </w:r>
    </w:p>
    <w:p w14:paraId="59DFD49D" w14:textId="77777777" w:rsidR="0014572F" w:rsidRDefault="00000000">
      <w:pPr>
        <w:tabs>
          <w:tab w:val="right" w:pos="10800"/>
        </w:tabs>
        <w:spacing w:before="40"/>
      </w:pPr>
      <w:r>
        <w:rPr>
          <w:rFonts w:ascii="Calibri" w:eastAsia="Calibri" w:hAnsi="Calibri" w:cs="Calibri"/>
          <w:b/>
          <w:bCs/>
          <w:color w:val="1F2937"/>
        </w:rPr>
        <w:t>Consultant, Product Management &amp; Brand Strategy</w:t>
      </w:r>
      <w:r>
        <w:tab/>
      </w:r>
      <w:r>
        <w:rPr>
          <w:rFonts w:ascii="Calibri" w:eastAsia="Calibri" w:hAnsi="Calibri" w:cs="Calibri"/>
          <w:color w:val="1F2937"/>
        </w:rPr>
        <w:t>June 2026 – Aug 2026</w:t>
      </w:r>
    </w:p>
    <w:p w14:paraId="7AEC68FE" w14:textId="77777777" w:rsidR="0014572F" w:rsidRDefault="00000000">
      <w:pPr>
        <w:spacing w:after="20"/>
      </w:pPr>
      <w:r>
        <w:rPr>
          <w:rFonts w:ascii="Calibri" w:eastAsia="Calibri" w:hAnsi="Calibri" w:cs="Calibri"/>
          <w:i/>
          <w:iCs/>
          <w:color w:val="555555"/>
          <w:sz w:val="19"/>
          <w:szCs w:val="19"/>
        </w:rPr>
        <w:t>SWISSGEAR × Group III International</w:t>
      </w:r>
    </w:p>
    <w:p w14:paraId="5A84CFEF"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Built a competitive whitespace framework across a ~$19B U.S. core TAM using hypothesis-driven TAM/SAM/SOM sizing and a category PESTLE scan for SWISSGEAR's growth strategy.</w:t>
      </w:r>
    </w:p>
    <w:p w14:paraId="3429E0D0"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Designed and fielded a 2,400-participant survey mapping brand-association tensions to identify the client's right-to-play and right-to-win spaces for leadership prioritization.</w:t>
      </w:r>
    </w:p>
    <w:p w14:paraId="45A24EFF"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Built an 8-criteria scoring framework with 1/3/5-year SOM projections across 7 whitespace concepts, sizing a $36M year-five opportunity and delivering a go-to-market recommendation the client used to prioritize investment.</w:t>
      </w:r>
    </w:p>
    <w:p w14:paraId="7EBD78C1" w14:textId="77777777" w:rsidR="0014572F" w:rsidRDefault="00000000">
      <w:pPr>
        <w:pStyle w:val="ListParagraph"/>
        <w:numPr>
          <w:ilvl w:val="0"/>
          <w:numId w:val="2"/>
        </w:numPr>
        <w:spacing w:after="20"/>
      </w:pPr>
      <w:r w:rsidRPr="0041798A">
        <w:rPr>
          <w:rFonts w:ascii="Calibri" w:eastAsia="Calibri" w:hAnsi="Calibri" w:cs="Calibri"/>
          <w:sz w:val="19"/>
          <w:szCs w:val="19"/>
        </w:rPr>
        <w:t>Led client communication under NDA; scope expanded to independently developing the winning category's product brief</w:t>
      </w:r>
      <w:r>
        <w:rPr>
          <w:rFonts w:ascii="Calibri" w:eastAsia="Calibri" w:hAnsi="Calibri" w:cs="Calibri"/>
        </w:rPr>
        <w:t>.</w:t>
      </w:r>
    </w:p>
    <w:p w14:paraId="45CE8870" w14:textId="77777777" w:rsidR="0014572F" w:rsidRDefault="00000000">
      <w:pPr>
        <w:tabs>
          <w:tab w:val="right" w:pos="10800"/>
        </w:tabs>
        <w:spacing w:before="40"/>
      </w:pPr>
      <w:r>
        <w:rPr>
          <w:rFonts w:ascii="Calibri" w:eastAsia="Calibri" w:hAnsi="Calibri" w:cs="Calibri"/>
          <w:b/>
          <w:bCs/>
          <w:color w:val="1F2937"/>
        </w:rPr>
        <w:t>Research Scholar</w:t>
      </w:r>
      <w:r>
        <w:tab/>
      </w:r>
      <w:r>
        <w:rPr>
          <w:rFonts w:ascii="Calibri" w:eastAsia="Calibri" w:hAnsi="Calibri" w:cs="Calibri"/>
          <w:color w:val="1F2937"/>
        </w:rPr>
        <w:t>Oct 2025 – Present</w:t>
      </w:r>
    </w:p>
    <w:p w14:paraId="1F5501FD" w14:textId="77777777" w:rsidR="0014572F" w:rsidRDefault="00000000">
      <w:pPr>
        <w:spacing w:after="20"/>
      </w:pPr>
      <w:r>
        <w:rPr>
          <w:rFonts w:ascii="Calibri" w:eastAsia="Calibri" w:hAnsi="Calibri" w:cs="Calibri"/>
          <w:i/>
          <w:iCs/>
          <w:color w:val="555555"/>
          <w:sz w:val="19"/>
          <w:szCs w:val="19"/>
        </w:rPr>
        <w:t xml:space="preserve">Northwestern Medill, Spiegel Research </w:t>
      </w:r>
      <w:proofErr w:type="spellStart"/>
      <w:r>
        <w:rPr>
          <w:rFonts w:ascii="Calibri" w:eastAsia="Calibri" w:hAnsi="Calibri" w:cs="Calibri"/>
          <w:i/>
          <w:iCs/>
          <w:color w:val="555555"/>
          <w:sz w:val="19"/>
          <w:szCs w:val="19"/>
        </w:rPr>
        <w:t>Center</w:t>
      </w:r>
      <w:proofErr w:type="spellEnd"/>
    </w:p>
    <w:p w14:paraId="1B39FD76"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Selected as 1 of 6 scholars (of 120) to independently conduct phenomenological research (14 interviews, 10 countries); built a hierarchical coding schema translating findings into business implications.</w:t>
      </w:r>
    </w:p>
    <w:p w14:paraId="1ABD5456" w14:textId="77777777" w:rsidR="0014572F" w:rsidRDefault="00000000">
      <w:pPr>
        <w:tabs>
          <w:tab w:val="right" w:pos="10800"/>
        </w:tabs>
        <w:spacing w:before="40"/>
      </w:pPr>
      <w:r>
        <w:rPr>
          <w:rFonts w:ascii="Calibri" w:eastAsia="Calibri" w:hAnsi="Calibri" w:cs="Calibri"/>
          <w:b/>
          <w:bCs/>
          <w:color w:val="1F2937"/>
        </w:rPr>
        <w:t>Senior Research Associate</w:t>
      </w:r>
      <w:r>
        <w:tab/>
      </w:r>
      <w:r>
        <w:rPr>
          <w:rFonts w:ascii="Calibri" w:eastAsia="Calibri" w:hAnsi="Calibri" w:cs="Calibri"/>
          <w:color w:val="1F2937"/>
        </w:rPr>
        <w:t>Apr 2024 – Apr 2025</w:t>
      </w:r>
    </w:p>
    <w:p w14:paraId="6C59311E" w14:textId="77777777" w:rsidR="0014572F" w:rsidRDefault="00000000">
      <w:pPr>
        <w:spacing w:after="20"/>
      </w:pPr>
      <w:r>
        <w:rPr>
          <w:rFonts w:ascii="Calibri" w:eastAsia="Calibri" w:hAnsi="Calibri" w:cs="Calibri"/>
          <w:i/>
          <w:iCs/>
          <w:color w:val="555555"/>
          <w:sz w:val="19"/>
          <w:szCs w:val="19"/>
        </w:rPr>
        <w:t>Third Eye Integrated Services  |  Clients: Google, Mondelez, Amazon, Vivo, Piramal, L'Oréal, Sprite, Bayer</w:t>
      </w:r>
    </w:p>
    <w:p w14:paraId="34BE4FD9"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Reviewed client RFPs and authored approach notes/proposals, translating ambiguous questions into structured study designs; independently led 20+ high-stakes studies across CPG, tech, beauty, and finance, owning scope, quality, and budget/timeline management.</w:t>
      </w:r>
    </w:p>
    <w:p w14:paraId="040A0CBB"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Synthesized findings into personas, journey maps, and product specs shaping clients' positioning and category-entry decisions, including flagging a naming risk that led a client to revise a product name before launch.</w:t>
      </w:r>
    </w:p>
    <w:p w14:paraId="10970DB2"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Built Excel-based data collation structures, pivot tables, and Gantt charts across 8+ projects, and produced client-ready PowerPoint decks translating raw research into clear business recommendations for senior teams.</w:t>
      </w:r>
    </w:p>
    <w:p w14:paraId="0DF51C24" w14:textId="77777777" w:rsidR="0014572F" w:rsidRDefault="00000000">
      <w:pPr>
        <w:tabs>
          <w:tab w:val="right" w:pos="10800"/>
        </w:tabs>
        <w:spacing w:before="40"/>
      </w:pPr>
      <w:r>
        <w:rPr>
          <w:rFonts w:ascii="Calibri" w:eastAsia="Calibri" w:hAnsi="Calibri" w:cs="Calibri"/>
          <w:b/>
          <w:bCs/>
          <w:color w:val="1F2937"/>
        </w:rPr>
        <w:t>Research Associate</w:t>
      </w:r>
      <w:r>
        <w:tab/>
      </w:r>
      <w:r>
        <w:rPr>
          <w:rFonts w:ascii="Calibri" w:eastAsia="Calibri" w:hAnsi="Calibri" w:cs="Calibri"/>
          <w:color w:val="1F2937"/>
        </w:rPr>
        <w:t>Aug 2023 – Mar 2024</w:t>
      </w:r>
    </w:p>
    <w:p w14:paraId="0F454695" w14:textId="77777777" w:rsidR="0014572F" w:rsidRDefault="00000000">
      <w:pPr>
        <w:spacing w:after="20"/>
      </w:pPr>
      <w:r>
        <w:rPr>
          <w:rFonts w:ascii="Calibri" w:eastAsia="Calibri" w:hAnsi="Calibri" w:cs="Calibri"/>
          <w:i/>
          <w:iCs/>
          <w:color w:val="555555"/>
          <w:sz w:val="19"/>
          <w:szCs w:val="19"/>
        </w:rPr>
        <w:t>Third Eye Integrated Services</w:t>
      </w:r>
    </w:p>
    <w:p w14:paraId="6FB169C3"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Coordinated 13 research studies end-to-end, writing 4 recruitment questionnaires and adapting screening for 5+ studies; co-moderated sessions for clients including Google AI/Bard and Cadbury Gems.</w:t>
      </w:r>
    </w:p>
    <w:p w14:paraId="0433616B" w14:textId="77777777" w:rsidR="0014572F" w:rsidRDefault="00000000">
      <w:pPr>
        <w:tabs>
          <w:tab w:val="right" w:pos="10800"/>
        </w:tabs>
        <w:spacing w:before="40"/>
      </w:pPr>
      <w:r>
        <w:rPr>
          <w:rFonts w:ascii="Calibri" w:eastAsia="Calibri" w:hAnsi="Calibri" w:cs="Calibri"/>
          <w:b/>
          <w:bCs/>
          <w:color w:val="1F2937"/>
        </w:rPr>
        <w:t>Earlier Experience</w:t>
      </w:r>
      <w:r>
        <w:tab/>
      </w:r>
      <w:r>
        <w:rPr>
          <w:rFonts w:ascii="Calibri" w:eastAsia="Calibri" w:hAnsi="Calibri" w:cs="Calibri"/>
          <w:color w:val="1F2937"/>
        </w:rPr>
        <w:t>May 2021 – Apr 2023</w:t>
      </w:r>
    </w:p>
    <w:p w14:paraId="422CF7D9"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 xml:space="preserve">Data Visualization Intern, </w:t>
      </w:r>
      <w:proofErr w:type="spellStart"/>
      <w:r w:rsidRPr="0041798A">
        <w:rPr>
          <w:rFonts w:ascii="Calibri" w:eastAsia="Calibri" w:hAnsi="Calibri" w:cs="Calibri"/>
          <w:sz w:val="19"/>
          <w:szCs w:val="19"/>
        </w:rPr>
        <w:t>WageIndicator</w:t>
      </w:r>
      <w:proofErr w:type="spellEnd"/>
      <w:r w:rsidRPr="0041798A">
        <w:rPr>
          <w:rFonts w:ascii="Calibri" w:eastAsia="Calibri" w:hAnsi="Calibri" w:cs="Calibri"/>
          <w:sz w:val="19"/>
          <w:szCs w:val="19"/>
        </w:rPr>
        <w:t xml:space="preserve"> Foundation — </w:t>
      </w:r>
      <w:proofErr w:type="spellStart"/>
      <w:r w:rsidRPr="0041798A">
        <w:rPr>
          <w:rFonts w:ascii="Calibri" w:eastAsia="Calibri" w:hAnsi="Calibri" w:cs="Calibri"/>
          <w:sz w:val="19"/>
          <w:szCs w:val="19"/>
        </w:rPr>
        <w:t>analyzed</w:t>
      </w:r>
      <w:proofErr w:type="spellEnd"/>
      <w:r w:rsidRPr="0041798A">
        <w:rPr>
          <w:rFonts w:ascii="Calibri" w:eastAsia="Calibri" w:hAnsi="Calibri" w:cs="Calibri"/>
          <w:sz w:val="19"/>
          <w:szCs w:val="19"/>
        </w:rPr>
        <w:t xml:space="preserve"> </w:t>
      </w:r>
      <w:proofErr w:type="spellStart"/>
      <w:r w:rsidRPr="0041798A">
        <w:rPr>
          <w:rFonts w:ascii="Calibri" w:eastAsia="Calibri" w:hAnsi="Calibri" w:cs="Calibri"/>
          <w:sz w:val="19"/>
          <w:szCs w:val="19"/>
        </w:rPr>
        <w:t>labor</w:t>
      </w:r>
      <w:proofErr w:type="spellEnd"/>
      <w:r w:rsidRPr="0041798A">
        <w:rPr>
          <w:rFonts w:ascii="Calibri" w:eastAsia="Calibri" w:hAnsi="Calibri" w:cs="Calibri"/>
          <w:sz w:val="19"/>
          <w:szCs w:val="19"/>
        </w:rPr>
        <w:t xml:space="preserve"> market data across 50+ countries, building 10+ Tableau visualizations cited in the organization's Annual Reports.</w:t>
      </w:r>
    </w:p>
    <w:p w14:paraId="522D1F97" w14:textId="77777777" w:rsidR="0014572F" w:rsidRPr="0041798A" w:rsidRDefault="00000000">
      <w:pPr>
        <w:pStyle w:val="ListParagraph"/>
        <w:numPr>
          <w:ilvl w:val="0"/>
          <w:numId w:val="2"/>
        </w:numPr>
        <w:spacing w:after="20"/>
        <w:rPr>
          <w:sz w:val="19"/>
          <w:szCs w:val="19"/>
        </w:rPr>
      </w:pPr>
      <w:r w:rsidRPr="0041798A">
        <w:rPr>
          <w:rFonts w:ascii="Calibri" w:eastAsia="Calibri" w:hAnsi="Calibri" w:cs="Calibri"/>
          <w:sz w:val="19"/>
          <w:szCs w:val="19"/>
        </w:rPr>
        <w:t>Market Research Intern, Quantum Consumer Solutions — usage-and-attitudes research for YouTube ahead of the Shorts India launch.</w:t>
      </w:r>
    </w:p>
    <w:p w14:paraId="2821C2F1" w14:textId="77777777" w:rsidR="0014572F" w:rsidRDefault="00000000">
      <w:pPr>
        <w:pBdr>
          <w:bottom w:val="single" w:sz="4" w:space="2" w:color="AAAAAA"/>
        </w:pBdr>
        <w:spacing w:before="130" w:after="40"/>
      </w:pPr>
      <w:r>
        <w:rPr>
          <w:rFonts w:ascii="Calibri" w:eastAsia="Calibri" w:hAnsi="Calibri" w:cs="Calibri"/>
          <w:b/>
          <w:bCs/>
          <w:color w:val="1F2937"/>
          <w:sz w:val="19"/>
          <w:szCs w:val="19"/>
        </w:rPr>
        <w:t>SKILLS</w:t>
      </w:r>
    </w:p>
    <w:p w14:paraId="32405E49" w14:textId="77777777" w:rsidR="0014572F" w:rsidRDefault="00000000">
      <w:pPr>
        <w:spacing w:after="20"/>
      </w:pPr>
      <w:r>
        <w:rPr>
          <w:rFonts w:ascii="Calibri" w:eastAsia="Calibri" w:hAnsi="Calibri" w:cs="Calibri"/>
          <w:b/>
          <w:bCs/>
          <w:sz w:val="19"/>
          <w:szCs w:val="19"/>
        </w:rPr>
        <w:t xml:space="preserve">Business &amp; Analytical Tools: </w:t>
      </w:r>
      <w:r>
        <w:rPr>
          <w:rFonts w:ascii="Calibri" w:eastAsia="Calibri" w:hAnsi="Calibri" w:cs="Calibri"/>
          <w:sz w:val="19"/>
          <w:szCs w:val="19"/>
        </w:rPr>
        <w:t>Excel (pivot tables, Gantt charts, positioning maps), PowerPoint, Word, Canva</w:t>
      </w:r>
    </w:p>
    <w:p w14:paraId="6A6DDBFA" w14:textId="77777777" w:rsidR="0014572F" w:rsidRDefault="00000000">
      <w:pPr>
        <w:spacing w:after="20"/>
      </w:pPr>
      <w:r>
        <w:rPr>
          <w:rFonts w:ascii="Calibri" w:eastAsia="Calibri" w:hAnsi="Calibri" w:cs="Calibri"/>
          <w:b/>
          <w:bCs/>
          <w:sz w:val="19"/>
          <w:szCs w:val="19"/>
        </w:rPr>
        <w:t xml:space="preserve">Strategic Analysis: </w:t>
      </w:r>
      <w:r>
        <w:rPr>
          <w:rFonts w:ascii="Calibri" w:eastAsia="Calibri" w:hAnsi="Calibri" w:cs="Calibri"/>
          <w:sz w:val="19"/>
          <w:szCs w:val="19"/>
        </w:rPr>
        <w:t>TAM/SAM/SOM &amp; whitespace mapping, PESTLE, Porter's Five Forces, hypothesis-driven problem solving</w:t>
      </w:r>
    </w:p>
    <w:p w14:paraId="139CEE46" w14:textId="77777777" w:rsidR="0014572F" w:rsidRDefault="00000000">
      <w:pPr>
        <w:spacing w:after="20"/>
      </w:pPr>
      <w:r>
        <w:rPr>
          <w:rFonts w:ascii="Calibri" w:eastAsia="Calibri" w:hAnsi="Calibri" w:cs="Calibri"/>
          <w:b/>
          <w:bCs/>
          <w:sz w:val="19"/>
          <w:szCs w:val="19"/>
        </w:rPr>
        <w:t xml:space="preserve">Research &amp; Data: </w:t>
      </w:r>
      <w:r>
        <w:rPr>
          <w:rFonts w:ascii="Calibri" w:eastAsia="Calibri" w:hAnsi="Calibri" w:cs="Calibri"/>
          <w:sz w:val="19"/>
          <w:szCs w:val="19"/>
        </w:rPr>
        <w:t>SPSS, STATA, R, Tableau, Qualtrics, thematic/hierarchical coding</w:t>
      </w:r>
    </w:p>
    <w:p w14:paraId="066DAEDA" w14:textId="6D113CAF" w:rsidR="0014572F" w:rsidRDefault="00000000">
      <w:pPr>
        <w:spacing w:after="20"/>
      </w:pPr>
      <w:r>
        <w:rPr>
          <w:rFonts w:ascii="Calibri" w:eastAsia="Calibri" w:hAnsi="Calibri" w:cs="Calibri"/>
          <w:b/>
          <w:bCs/>
          <w:sz w:val="19"/>
          <w:szCs w:val="19"/>
        </w:rPr>
        <w:t xml:space="preserve">Languages: </w:t>
      </w:r>
      <w:r>
        <w:rPr>
          <w:rFonts w:ascii="Calibri" w:eastAsia="Calibri" w:hAnsi="Calibri" w:cs="Calibri"/>
          <w:sz w:val="19"/>
          <w:szCs w:val="19"/>
        </w:rPr>
        <w:t>English, Hindi, Marathi</w:t>
      </w:r>
    </w:p>
    <w:p w14:paraId="38D9963F" w14:textId="5ECD5A75" w:rsidR="0014572F" w:rsidRDefault="0041798A">
      <w:pPr>
        <w:spacing w:after="20"/>
      </w:pPr>
      <w:r>
        <w:rPr>
          <w:rFonts w:ascii="Calibri" w:eastAsia="Calibri" w:hAnsi="Calibri" w:cs="Calibri"/>
          <w:b/>
          <w:bCs/>
          <w:sz w:val="19"/>
          <w:szCs w:val="19"/>
        </w:rPr>
        <w:t>Athletics</w:t>
      </w:r>
      <w:r w:rsidR="00000000">
        <w:rPr>
          <w:rFonts w:ascii="Calibri" w:eastAsia="Calibri" w:hAnsi="Calibri" w:cs="Calibri"/>
          <w:b/>
          <w:bCs/>
          <w:sz w:val="19"/>
          <w:szCs w:val="19"/>
        </w:rPr>
        <w:t xml:space="preserve">: </w:t>
      </w:r>
      <w:r w:rsidR="00000000">
        <w:rPr>
          <w:rFonts w:ascii="Calibri" w:eastAsia="Calibri" w:hAnsi="Calibri" w:cs="Calibri"/>
          <w:sz w:val="19"/>
          <w:szCs w:val="19"/>
        </w:rPr>
        <w:t>National-level competitive powerlifter</w:t>
      </w:r>
      <w:r>
        <w:rPr>
          <w:rFonts w:ascii="Calibri" w:eastAsia="Calibri" w:hAnsi="Calibri" w:cs="Calibri"/>
          <w:sz w:val="19"/>
          <w:szCs w:val="19"/>
        </w:rPr>
        <w:t>-</w:t>
      </w:r>
      <w:r w:rsidR="00000000">
        <w:rPr>
          <w:rFonts w:ascii="Calibri" w:eastAsia="Calibri" w:hAnsi="Calibri" w:cs="Calibri"/>
          <w:sz w:val="19"/>
          <w:szCs w:val="19"/>
        </w:rPr>
        <w:t xml:space="preserve"> Bronze, National Championship 2023; multiple state and regional gold medals</w:t>
      </w:r>
    </w:p>
    <w:sectPr w:rsidR="0014572F">
      <w:pgSz w:w="12240" w:h="15840"/>
      <w:pgMar w:top="806" w:right="979" w:bottom="806" w:left="97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E93E2D"/>
    <w:multiLevelType w:val="hybridMultilevel"/>
    <w:tmpl w:val="F87C3A50"/>
    <w:lvl w:ilvl="0" w:tplc="8A682774">
      <w:start w:val="1"/>
      <w:numFmt w:val="bullet"/>
      <w:lvlText w:val="•"/>
      <w:lvlJc w:val="left"/>
      <w:pPr>
        <w:ind w:left="260" w:hanging="200"/>
      </w:pPr>
    </w:lvl>
    <w:lvl w:ilvl="1" w:tplc="EF10C690">
      <w:numFmt w:val="decimal"/>
      <w:lvlText w:val=""/>
      <w:lvlJc w:val="left"/>
    </w:lvl>
    <w:lvl w:ilvl="2" w:tplc="07B06EC2">
      <w:numFmt w:val="decimal"/>
      <w:lvlText w:val=""/>
      <w:lvlJc w:val="left"/>
    </w:lvl>
    <w:lvl w:ilvl="3" w:tplc="605621C6">
      <w:numFmt w:val="decimal"/>
      <w:lvlText w:val=""/>
      <w:lvlJc w:val="left"/>
    </w:lvl>
    <w:lvl w:ilvl="4" w:tplc="1302B9D2">
      <w:numFmt w:val="decimal"/>
      <w:lvlText w:val=""/>
      <w:lvlJc w:val="left"/>
    </w:lvl>
    <w:lvl w:ilvl="5" w:tplc="57BAF612">
      <w:numFmt w:val="decimal"/>
      <w:lvlText w:val=""/>
      <w:lvlJc w:val="left"/>
    </w:lvl>
    <w:lvl w:ilvl="6" w:tplc="CD4C9488">
      <w:numFmt w:val="decimal"/>
      <w:lvlText w:val=""/>
      <w:lvlJc w:val="left"/>
    </w:lvl>
    <w:lvl w:ilvl="7" w:tplc="903E354E">
      <w:numFmt w:val="decimal"/>
      <w:lvlText w:val=""/>
      <w:lvlJc w:val="left"/>
    </w:lvl>
    <w:lvl w:ilvl="8" w:tplc="3AF8AD66">
      <w:numFmt w:val="decimal"/>
      <w:lvlText w:val=""/>
      <w:lvlJc w:val="left"/>
    </w:lvl>
  </w:abstractNum>
  <w:abstractNum w:abstractNumId="1" w15:restartNumberingAfterBreak="0">
    <w:nsid w:val="75E17E1B"/>
    <w:multiLevelType w:val="hybridMultilevel"/>
    <w:tmpl w:val="6D6AF18A"/>
    <w:lvl w:ilvl="0" w:tplc="BCAEFC90">
      <w:start w:val="1"/>
      <w:numFmt w:val="bullet"/>
      <w:lvlText w:val="●"/>
      <w:lvlJc w:val="left"/>
      <w:pPr>
        <w:ind w:left="720" w:hanging="360"/>
      </w:pPr>
    </w:lvl>
    <w:lvl w:ilvl="1" w:tplc="B4A6B316">
      <w:start w:val="1"/>
      <w:numFmt w:val="bullet"/>
      <w:lvlText w:val="○"/>
      <w:lvlJc w:val="left"/>
      <w:pPr>
        <w:ind w:left="1440" w:hanging="360"/>
      </w:pPr>
    </w:lvl>
    <w:lvl w:ilvl="2" w:tplc="D65C32CC">
      <w:start w:val="1"/>
      <w:numFmt w:val="bullet"/>
      <w:lvlText w:val="■"/>
      <w:lvlJc w:val="left"/>
      <w:pPr>
        <w:ind w:left="2160" w:hanging="360"/>
      </w:pPr>
    </w:lvl>
    <w:lvl w:ilvl="3" w:tplc="05DAEC42">
      <w:start w:val="1"/>
      <w:numFmt w:val="bullet"/>
      <w:lvlText w:val="●"/>
      <w:lvlJc w:val="left"/>
      <w:pPr>
        <w:ind w:left="2880" w:hanging="360"/>
      </w:pPr>
    </w:lvl>
    <w:lvl w:ilvl="4" w:tplc="2ED06AB4">
      <w:start w:val="1"/>
      <w:numFmt w:val="bullet"/>
      <w:lvlText w:val="○"/>
      <w:lvlJc w:val="left"/>
      <w:pPr>
        <w:ind w:left="3600" w:hanging="360"/>
      </w:pPr>
    </w:lvl>
    <w:lvl w:ilvl="5" w:tplc="E97AA99C">
      <w:start w:val="1"/>
      <w:numFmt w:val="bullet"/>
      <w:lvlText w:val="■"/>
      <w:lvlJc w:val="left"/>
      <w:pPr>
        <w:ind w:left="4320" w:hanging="360"/>
      </w:pPr>
    </w:lvl>
    <w:lvl w:ilvl="6" w:tplc="344C9C16">
      <w:start w:val="1"/>
      <w:numFmt w:val="bullet"/>
      <w:lvlText w:val="●"/>
      <w:lvlJc w:val="left"/>
      <w:pPr>
        <w:ind w:left="5040" w:hanging="360"/>
      </w:pPr>
    </w:lvl>
    <w:lvl w:ilvl="7" w:tplc="A9188474">
      <w:start w:val="1"/>
      <w:numFmt w:val="bullet"/>
      <w:lvlText w:val="●"/>
      <w:lvlJc w:val="left"/>
      <w:pPr>
        <w:ind w:left="5760" w:hanging="360"/>
      </w:pPr>
    </w:lvl>
    <w:lvl w:ilvl="8" w:tplc="C4241A92">
      <w:start w:val="1"/>
      <w:numFmt w:val="bullet"/>
      <w:lvlText w:val="●"/>
      <w:lvlJc w:val="left"/>
      <w:pPr>
        <w:ind w:left="6480" w:hanging="360"/>
      </w:pPr>
    </w:lvl>
  </w:abstractNum>
  <w:num w:numId="1" w16cid:durableId="1322660041">
    <w:abstractNumId w:val="1"/>
    <w:lvlOverride w:ilvl="0">
      <w:startOverride w:val="1"/>
    </w:lvlOverride>
  </w:num>
  <w:num w:numId="2" w16cid:durableId="19962992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2F"/>
    <w:rsid w:val="0014572F"/>
    <w:rsid w:val="0041798A"/>
    <w:rsid w:val="00541AD4"/>
    <w:rsid w:val="00897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347A2D"/>
  <w15:docId w15:val="{9C65D4DA-6D7B-7040-B7D5-DE853254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bhobe-star.github.io/akshbhobe.github.io/" TargetMode="External"/><Relationship Id="rId5" Type="http://schemas.openxmlformats.org/officeDocument/2006/relationships/hyperlink" Target="https://www.linkedin.com/in/aksharaa-bho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Aksharaa Bhobe</cp:lastModifiedBy>
  <cp:revision>2</cp:revision>
  <cp:lastPrinted>2026-09-29T15:42:00Z</cp:lastPrinted>
  <dcterms:created xsi:type="dcterms:W3CDTF">2026-09-29T17:05:00Z</dcterms:created>
  <dcterms:modified xsi:type="dcterms:W3CDTF">2026-09-29T17:05:00Z</dcterms:modified>
</cp:coreProperties>
</file>