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EEF2FF"/>
            <w:tcBorders>
              <w:top w:val="single" w:sz="8" w:space="0" w:color="5B62D6"/>
              <w:left w:val="single" w:sz="8" w:space="0" w:color="5B62D6"/>
              <w:bottom w:val="single" w:sz="8" w:space="0" w:color="5B62D6"/>
              <w:right w:val="single" w:sz="8" w:space="0" w:color="5B62D6"/>
            </w:tcBorders>
          </w:tcPr>
          <w:p>
            <w:pPr>
              <w:spacing w:before="160"/>
            </w:pPr>
            <w:r>
              <w:rPr>
                <w:rFonts w:ascii="Arial" w:hAnsi="Arial"/>
                <w:b/>
                <w:color w:val="281E78"/>
                <w:sz w:val="20"/>
              </w:rPr>
              <w:t>🔍  SEO META — paste into your CMS before publishing</w:t>
            </w:r>
          </w:p>
          <w:p>
            <w:pPr>
              <w:spacing w:after="160"/>
            </w:pPr>
            <w:r>
              <w:rPr>
                <w:rFonts w:ascii="Arial" w:hAnsi="Arial"/>
                <w:color w:val="281E78"/>
                <w:sz w:val="22"/>
              </w:rPr>
              <w:t>URL slug:  /blog/top-vc-firms-india</w:t>
              <w:br/>
              <w:t>Meta title:  Top 20 VC Firms in India for Early-Stage Startups (2026)</w:t>
              <w:br/>
              <w:t>Meta description:  Researching VCs in India? Here are the 20 best venture capital firms for early-stage startups — with investment thesis, cheque sizes, and sectors covered.</w:t>
              <w:br/>
              <w:t>Primary keyword:  top VC firms in India 2026</w:t>
              <w:br/>
              <w:t>Secondary keywords:  best VC firms India, venture capital India startups, Indian VC investment thesis</w:t>
              <w:br/>
              <w:t>Word count target:  3,500 – 4,000 words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0FDF4"/>
            <w:tcBorders>
              <w:top w:val="single" w:sz="8" w:space="0" w:color="22C55E"/>
              <w:left w:val="single" w:sz="8" w:space="0" w:color="22C55E"/>
              <w:bottom w:val="single" w:sz="8" w:space="0" w:color="22C55E"/>
              <w:right w:val="single" w:sz="8" w:space="0" w:color="22C55E"/>
            </w:tcBorders>
          </w:tcPr>
          <w:p>
            <w:pPr>
              <w:spacing w:before="160"/>
            </w:pPr>
            <w:r>
              <w:rPr>
                <w:rFonts w:ascii="Arial" w:hAnsi="Arial"/>
                <w:b/>
                <w:color w:val="0A501E"/>
                <w:sz w:val="20"/>
              </w:rPr>
              <w:t>🗂  BREADCRUMB (add schema markup in CMS)</w:t>
            </w:r>
          </w:p>
          <w:p>
            <w:pPr>
              <w:spacing w:after="160"/>
            </w:pPr>
            <w:r>
              <w:rPr>
                <w:rFonts w:ascii="Arial" w:hAnsi="Arial"/>
                <w:color w:val="0A501E"/>
                <w:sz w:val="22"/>
              </w:rPr>
              <w:t>Home  ›  Blog  ›  VC Research  ›  Top 20 VC Firms in India for Early-Stage Startups (2026)</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E8F4FB"/>
            <w:tcBorders>
              <w:top w:val="single" w:sz="6" w:space="0" w:color="185FA5"/>
              <w:left w:val="single" w:sz="6" w:space="0" w:color="185FA5"/>
              <w:bottom w:val="single" w:sz="6" w:space="0" w:color="185FA5"/>
              <w:right w:val="single" w:sz="6" w:space="0" w:color="185FA5"/>
            </w:tcBorders>
          </w:tcPr>
          <w:p>
            <w:pPr>
              <w:spacing w:before="200"/>
              <w:jc w:val="center"/>
            </w:pPr>
            <w:r>
              <w:rPr>
                <w:rFonts w:ascii="Arial" w:hAnsi="Arial"/>
                <w:b/>
                <w:color w:val="185FA5"/>
                <w:sz w:val="22"/>
              </w:rPr>
              <w:t>📷  IMAGE 1 — HERO BANNER</w:t>
            </w:r>
          </w:p>
          <w:p>
            <w:pPr>
              <w:jc w:val="center"/>
            </w:pPr>
            <w:r>
              <w:rPr>
                <w:rFonts w:ascii="Arial" w:hAnsi="Arial"/>
                <w:color w:val="3C3C50"/>
                <w:sz w:val="20"/>
              </w:rPr>
              <w:t>India map with Bengaluru, Mumbai &amp; Delhi highlighted as VC hubs.</w:t>
              <w:br/>
              <w:t>Overlay text: 'Top 20 VC Firms in India for Early-Stage Startups (2026)'</w:t>
              <w:br/>
              <w:t>VC Dekho logo bottom-right. Dimensions: 1200 × 630 px (OG image standard).</w:t>
            </w:r>
          </w:p>
          <w:p>
            <w:pPr>
              <w:spacing w:after="200"/>
              <w:jc w:val="center"/>
            </w:pPr>
            <w:r>
              <w:rPr>
                <w:rFonts w:ascii="Arial" w:hAnsi="Arial"/>
                <w:i/>
                <w:color w:val="78788C"/>
                <w:sz w:val="18"/>
              </w:rPr>
              <w:t>Alt text: "Top VC hub cities in India — Bengaluru, Mumbai, Delhi — on an illustrated map"</w:t>
            </w:r>
          </w:p>
        </w:tc>
      </w:tr>
    </w:tbl>
    <w:p>
      <w:pPr>
        <w:spacing w:after="120"/>
      </w:pPr>
    </w:p>
    <w:p>
      <w:pPr>
        <w:pStyle w:val="Heading1"/>
        <w:spacing w:before="360" w:after="160"/>
      </w:pPr>
      <w:r>
        <w:rPr>
          <w:rFonts w:ascii="Arial" w:hAnsi="Arial"/>
          <w:b/>
          <w:color w:val="141428"/>
          <w:sz w:val="48"/>
        </w:rPr>
        <w:t>Top 20 VC Firms in India for Early-Stage Startups (2026)</w:t>
      </w:r>
    </w:p>
    <w:p>
      <w:pPr>
        <w:spacing w:after="160" w:before="0"/>
        <w:jc w:val="left"/>
      </w:pPr>
      <w:r>
        <w:rPr>
          <w:rFonts w:ascii="Arial" w:hAnsi="Arial"/>
          <w:b w:val="0"/>
          <w:i w:val="0"/>
          <w:sz w:val="22"/>
        </w:rPr>
        <w:t>Most early-stage founders in India spend months researching investors — only to end up pitching the wrong ones. The right VC is not just the one with the biggest fund or the most famous logo. It is the one whose stage, sector thesis, and cheque size actually match where your startup is right now.</w:t>
      </w:r>
    </w:p>
    <w:p>
      <w:pPr>
        <w:spacing w:after="160" w:before="0"/>
        <w:jc w:val="left"/>
      </w:pPr>
      <w:r>
        <w:rPr>
          <w:rFonts w:ascii="Arial" w:hAnsi="Arial"/>
          <w:b w:val="0"/>
          <w:i w:val="0"/>
          <w:sz w:val="22"/>
        </w:rPr>
        <w:t>India's startup ecosystem raised approximately $16 billion in VC funding in 2025 — the second consecutive year of growth — and early-stage capital alone crossed $1 billion in just the first quarter of 2026. The money is there. The filter is just sharper than it has ever been.</w:t>
      </w:r>
    </w:p>
    <w:p>
      <w:pPr>
        <w:spacing w:after="160" w:before="0"/>
        <w:jc w:val="left"/>
      </w:pPr>
      <w:r>
        <w:rPr>
          <w:rFonts w:ascii="Arial" w:hAnsi="Arial"/>
          <w:b w:val="0"/>
          <w:i w:val="0"/>
          <w:sz w:val="22"/>
        </w:rPr>
        <w:t>This guide breaks down the 20 most active and founder-friendly VC firms in India for 2026, with each firm's investment thesis, preferred stage, typical cheque size, and key portfolio companies. Whether you are raising your first pre-seed round or preparing a Series A pitch, use this as your starting research point.</w:t>
      </w:r>
    </w:p>
    <w:p>
      <w:pPr>
        <w:spacing w:after="320" w:before="0"/>
        <w:jc w:val="left"/>
      </w:pPr>
      <w:r>
        <w:rPr>
          <w:rFonts w:ascii="Arial" w:hAnsi="Arial"/>
          <w:b/>
          <w:i w:val="0"/>
          <w:color w:val="185FA5"/>
          <w:sz w:val="22"/>
        </w:rPr>
        <w:t>Want deeper profiles, direct contacts, and thesis breakdowns for every VC on this list? VC Dekho is building exactly that. Join the waitlist at vcdekho.com.</w:t>
      </w:r>
    </w:p>
    <w:p>
      <w:pPr>
        <w:pBdr>
          <w:bottom w:val="single" w:sz="4" w:space="1" w:color="CCCCCC"/>
        </w:pBdr>
        <w:spacing w:after="200" w:before="200"/>
      </w:pPr>
    </w:p>
    <w:p>
      <w:pPr>
        <w:pStyle w:val="Heading2"/>
        <w:spacing w:before="360" w:after="160"/>
      </w:pPr>
      <w:r>
        <w:rPr>
          <w:rFonts w:ascii="Arial" w:hAnsi="Arial"/>
          <w:b/>
          <w:color w:val="1E1E1E"/>
          <w:sz w:val="34"/>
        </w:rPr>
        <w:t>How we selected these 20 VC firms</w:t>
      </w:r>
    </w:p>
    <w:p>
      <w:pPr>
        <w:spacing w:after="120" w:before="0"/>
        <w:jc w:val="left"/>
      </w:pPr>
      <w:r>
        <w:rPr>
          <w:rFonts w:ascii="Arial" w:hAnsi="Arial"/>
          <w:b w:val="0"/>
          <w:i w:val="0"/>
          <w:sz w:val="22"/>
        </w:rPr>
        <w:t>This list is not ranked by AUM or brand recognition. It is curated for early-stage Indian founders specifically, based on three criteria:</w:t>
      </w:r>
    </w:p>
    <w:p>
      <w:pPr>
        <w:pStyle w:val="ListBullet"/>
        <w:spacing w:after="80"/>
      </w:pPr>
      <w:r>
        <w:rPr>
          <w:rFonts w:ascii="Arial" w:hAnsi="Arial"/>
          <w:sz w:val="22"/>
        </w:rPr>
        <w:t>Active deployment in 2025–2026 (not just announced funds).</w:t>
      </w:r>
    </w:p>
    <w:p>
      <w:pPr>
        <w:pStyle w:val="ListBullet"/>
        <w:spacing w:after="80"/>
      </w:pPr>
      <w:r>
        <w:rPr>
          <w:rFonts w:ascii="Arial" w:hAnsi="Arial"/>
          <w:sz w:val="22"/>
        </w:rPr>
        <w:t>Meaningful early-stage focus — seed, pre-seed, or Series A as primary stage.</w:t>
      </w:r>
    </w:p>
    <w:p>
      <w:pPr>
        <w:pStyle w:val="ListBullet"/>
        <w:spacing w:after="80"/>
      </w:pPr>
      <w:r>
        <w:rPr>
          <w:rFonts w:ascii="Arial" w:hAnsi="Arial"/>
          <w:sz w:val="22"/>
        </w:rPr>
        <w:t>India-headquartered or India-dedicated fund with a local decision-making team.</w:t>
      </w:r>
    </w:p>
    <w:p>
      <w:pPr>
        <w:spacing w:after="320" w:before="0"/>
        <w:jc w:val="left"/>
      </w:pPr>
      <w:r>
        <w:rPr>
          <w:rFonts w:ascii="Arial" w:hAnsi="Arial"/>
          <w:b w:val="0"/>
          <w:i w:val="0"/>
          <w:sz w:val="22"/>
        </w:rPr>
        <w:t>We have ordered the list roughly from larger multi-stage funds down to founder-friendly micro VCs and thematic funds — so you can scroll to the tier that matches your stage.</w:t>
      </w:r>
    </w:p>
    <w:tbl>
      <w:tblPr>
        <w:tblW w:type="auto" w:w="0"/>
        <w:jc w:val="center"/>
        <w:tblLook w:firstColumn="1" w:firstRow="1" w:lastColumn="0" w:lastRow="0" w:noHBand="0" w:noVBand="1" w:val="04A0"/>
      </w:tblPr>
      <w:tblGrid>
        <w:gridCol w:w="9360"/>
      </w:tblGrid>
      <w:tr>
        <w:tc>
          <w:tcPr>
            <w:tcW w:type="dxa" w:w="9360"/>
            <w:shd w:val="clear" w:color="auto" w:fill="E8F4FB"/>
            <w:tcBorders>
              <w:top w:val="single" w:sz="6" w:space="0" w:color="185FA5"/>
              <w:left w:val="single" w:sz="6" w:space="0" w:color="185FA5"/>
              <w:bottom w:val="single" w:sz="6" w:space="0" w:color="185FA5"/>
              <w:right w:val="single" w:sz="6" w:space="0" w:color="185FA5"/>
            </w:tcBorders>
          </w:tcPr>
          <w:p>
            <w:pPr>
              <w:spacing w:before="200"/>
              <w:jc w:val="center"/>
            </w:pPr>
            <w:r>
              <w:rPr>
                <w:rFonts w:ascii="Arial" w:hAnsi="Arial"/>
                <w:b/>
                <w:color w:val="185FA5"/>
                <w:sz w:val="22"/>
              </w:rPr>
              <w:t>📷  IMAGE 2 — QUICK REFERENCE TABLE GRAPHIC</w:t>
            </w:r>
          </w:p>
          <w:p>
            <w:pPr>
              <w:jc w:val="center"/>
            </w:pPr>
            <w:r>
              <w:rPr>
                <w:rFonts w:ascii="Arial" w:hAnsi="Arial"/>
                <w:color w:val="3C3C50"/>
                <w:sz w:val="20"/>
              </w:rPr>
              <w:t>Designed table listing all 20 VCs: Name | Stage | Sector Focus | Cheque Size | HQ City.</w:t>
              <w:br/>
              <w:t>Format as a clean branded graphic (not a plain table) — shareable on LinkedIn.</w:t>
              <w:br/>
              <w:t>Dimensions: 1200 × 900 px.</w:t>
            </w:r>
          </w:p>
          <w:p>
            <w:pPr>
              <w:spacing w:after="200"/>
              <w:jc w:val="center"/>
            </w:pPr>
            <w:r>
              <w:rPr>
                <w:rFonts w:ascii="Arial" w:hAnsi="Arial"/>
                <w:i/>
                <w:color w:val="78788C"/>
                <w:sz w:val="18"/>
              </w:rPr>
              <w:t>Alt text: "Quick reference table of top 20 VC firms in India — stage, sector, and cheque size"</w:t>
            </w:r>
          </w:p>
        </w:tc>
      </w:tr>
    </w:tbl>
    <w:p>
      <w:pPr>
        <w:spacing w:after="120"/>
      </w:pPr>
    </w:p>
    <w:p>
      <w:pPr>
        <w:pStyle w:val="Heading2"/>
        <w:spacing w:before="360" w:after="160"/>
      </w:pPr>
      <w:r>
        <w:rPr>
          <w:rFonts w:ascii="Arial" w:hAnsi="Arial"/>
          <w:b/>
          <w:color w:val="1E1E1E"/>
          <w:sz w:val="34"/>
        </w:rPr>
        <w:t>Quick reference — all 20 firms at a glance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3C6E"/>
            <w:tcW w:w="400" w:type="dxa"/>
            <w:vAlign w:val="center"/>
          </w:tcPr>
          <w:p>
            <w:pPr>
              <w:jc w:val="center"/>
            </w:pPr>
            <w:r>
              <w:rPr>
                <w:rFonts w:ascii="Arial" w:hAnsi="Arial"/>
                <w:b/>
                <w:color w:val="FFFFFF"/>
                <w:sz w:val="18"/>
              </w:rPr>
              <w:t>#</w:t>
            </w:r>
          </w:p>
        </w:tc>
        <w:tc>
          <w:tcPr>
            <w:tcW w:type="dxa" w:w="1872"/>
            <w:shd w:val="clear" w:color="auto" w:fill="1A3C6E"/>
            <w:tcW w:w="2000" w:type="dxa"/>
            <w:vAlign w:val="center"/>
          </w:tcPr>
          <w:p>
            <w:pPr>
              <w:jc w:val="center"/>
            </w:pPr>
            <w:r>
              <w:rPr>
                <w:rFonts w:ascii="Arial" w:hAnsi="Arial"/>
                <w:b/>
                <w:color w:val="FFFFFF"/>
                <w:sz w:val="18"/>
              </w:rPr>
              <w:t>VC Firm</w:t>
            </w:r>
          </w:p>
        </w:tc>
        <w:tc>
          <w:tcPr>
            <w:tcW w:type="dxa" w:w="1872"/>
            <w:shd w:val="clear" w:color="auto" w:fill="1A3C6E"/>
            <w:tcW w:w="1600" w:type="dxa"/>
            <w:vAlign w:val="center"/>
          </w:tcPr>
          <w:p>
            <w:pPr>
              <w:jc w:val="center"/>
            </w:pPr>
            <w:r>
              <w:rPr>
                <w:rFonts w:ascii="Arial" w:hAnsi="Arial"/>
                <w:b/>
                <w:color w:val="FFFFFF"/>
                <w:sz w:val="18"/>
              </w:rPr>
              <w:t>Stage</w:t>
            </w:r>
          </w:p>
        </w:tc>
        <w:tc>
          <w:tcPr>
            <w:tcW w:type="dxa" w:w="1872"/>
            <w:shd w:val="clear" w:color="auto" w:fill="1A3C6E"/>
            <w:tcW w:w="1600" w:type="dxa"/>
            <w:vAlign w:val="center"/>
          </w:tcPr>
          <w:p>
            <w:pPr>
              <w:jc w:val="center"/>
            </w:pPr>
            <w:r>
              <w:rPr>
                <w:rFonts w:ascii="Arial" w:hAnsi="Arial"/>
                <w:b/>
                <w:color w:val="FFFFFF"/>
                <w:sz w:val="18"/>
              </w:rPr>
              <w:t>Cheque Size</w:t>
            </w:r>
          </w:p>
        </w:tc>
        <w:tc>
          <w:tcPr>
            <w:tcW w:type="dxa" w:w="1872"/>
            <w:shd w:val="clear" w:color="auto" w:fill="1A3C6E"/>
            <w:tcW w:w="3360" w:type="dxa"/>
            <w:vAlign w:val="center"/>
          </w:tcPr>
          <w:p>
            <w:pPr>
              <w:jc w:val="center"/>
            </w:pPr>
            <w:r>
              <w:rPr>
                <w:rFonts w:ascii="Arial" w:hAnsi="Arial"/>
                <w:b/>
                <w:color w:val="FFFFFF"/>
                <w:sz w:val="18"/>
              </w:rPr>
              <w:t>Key Sectors</w:t>
            </w:r>
          </w:p>
        </w:tc>
      </w:tr>
      <w:tr>
        <w:tc>
          <w:tcPr>
            <w:tcW w:type="dxa" w:w="1872"/>
            <w:shd w:val="clear" w:color="auto" w:fill="F0F4FF"/>
            <w:tcW w:w="400" w:type="dxa"/>
            <w:vAlign w:val="center"/>
          </w:tcPr>
          <w:p>
            <w:pPr>
              <w:jc w:val="center"/>
            </w:pPr>
            <w:r>
              <w:rPr>
                <w:rFonts w:ascii="Arial" w:hAnsi="Arial"/>
                <w:b/>
                <w:color w:val="646478"/>
                <w:sz w:val="18"/>
              </w:rPr>
              <w:t>1</w:t>
            </w:r>
          </w:p>
        </w:tc>
        <w:tc>
          <w:tcPr>
            <w:tcW w:type="dxa" w:w="1872"/>
            <w:shd w:val="clear" w:color="auto" w:fill="F0F4FF"/>
            <w:tcW w:w="2000" w:type="dxa"/>
            <w:vAlign w:val="center"/>
          </w:tcPr>
          <w:p>
            <w:pPr>
              <w:jc w:val="left"/>
            </w:pPr>
            <w:r>
              <w:rPr>
                <w:rFonts w:ascii="Arial" w:hAnsi="Arial"/>
                <w:sz w:val="18"/>
              </w:rPr>
              <w:t>Peak XV Partners</w:t>
            </w:r>
          </w:p>
        </w:tc>
        <w:tc>
          <w:tcPr>
            <w:tcW w:type="dxa" w:w="1872"/>
            <w:shd w:val="clear" w:color="auto" w:fill="F0F4FF"/>
            <w:tcW w:w="1600" w:type="dxa"/>
            <w:vAlign w:val="center"/>
          </w:tcPr>
          <w:p>
            <w:pPr>
              <w:jc w:val="left"/>
            </w:pPr>
            <w:r>
              <w:rPr>
                <w:rFonts w:ascii="Arial" w:hAnsi="Arial"/>
                <w:sz w:val="18"/>
              </w:rPr>
              <w:t>Seed → Growth</w:t>
            </w:r>
          </w:p>
        </w:tc>
        <w:tc>
          <w:tcPr>
            <w:tcW w:type="dxa" w:w="1872"/>
            <w:shd w:val="clear" w:color="auto" w:fill="F0F4FF"/>
            <w:tcW w:w="1600" w:type="dxa"/>
            <w:vAlign w:val="center"/>
          </w:tcPr>
          <w:p>
            <w:pPr>
              <w:jc w:val="left"/>
            </w:pPr>
            <w:r>
              <w:rPr>
                <w:rFonts w:ascii="Arial" w:hAnsi="Arial"/>
                <w:sz w:val="18"/>
              </w:rPr>
              <w:t>$500K – $16M+</w:t>
            </w:r>
          </w:p>
        </w:tc>
        <w:tc>
          <w:tcPr>
            <w:tcW w:type="dxa" w:w="1872"/>
            <w:shd w:val="clear" w:color="auto" w:fill="F0F4FF"/>
            <w:tcW w:w="3360" w:type="dxa"/>
            <w:vAlign w:val="center"/>
          </w:tcPr>
          <w:p>
            <w:pPr>
              <w:jc w:val="left"/>
            </w:pPr>
            <w:r>
              <w:rPr>
                <w:rFonts w:ascii="Arial" w:hAnsi="Arial"/>
                <w:sz w:val="18"/>
              </w:rPr>
              <w:t>AI, SaaS, Fintech, Consumer</w:t>
            </w:r>
          </w:p>
        </w:tc>
      </w:tr>
      <w:tr>
        <w:tc>
          <w:tcPr>
            <w:tcW w:type="dxa" w:w="1872"/>
            <w:shd w:val="clear" w:color="auto" w:fill="FFFFFF"/>
            <w:tcW w:w="400" w:type="dxa"/>
            <w:vAlign w:val="center"/>
          </w:tcPr>
          <w:p>
            <w:pPr>
              <w:jc w:val="center"/>
            </w:pPr>
            <w:r>
              <w:rPr>
                <w:rFonts w:ascii="Arial" w:hAnsi="Arial"/>
                <w:b/>
                <w:color w:val="646478"/>
                <w:sz w:val="18"/>
              </w:rPr>
              <w:t>2</w:t>
            </w:r>
          </w:p>
        </w:tc>
        <w:tc>
          <w:tcPr>
            <w:tcW w:type="dxa" w:w="1872"/>
            <w:shd w:val="clear" w:color="auto" w:fill="FFFFFF"/>
            <w:tcW w:w="2000" w:type="dxa"/>
            <w:vAlign w:val="center"/>
          </w:tcPr>
          <w:p>
            <w:pPr>
              <w:jc w:val="left"/>
            </w:pPr>
            <w:r>
              <w:rPr>
                <w:rFonts w:ascii="Arial" w:hAnsi="Arial"/>
                <w:sz w:val="18"/>
              </w:rPr>
              <w:t>Accel India</w:t>
            </w:r>
          </w:p>
        </w:tc>
        <w:tc>
          <w:tcPr>
            <w:tcW w:type="dxa" w:w="1872"/>
            <w:shd w:val="clear" w:color="auto" w:fill="FFFFFF"/>
            <w:tcW w:w="1600" w:type="dxa"/>
            <w:vAlign w:val="center"/>
          </w:tcPr>
          <w:p>
            <w:pPr>
              <w:jc w:val="left"/>
            </w:pPr>
            <w:r>
              <w:rPr>
                <w:rFonts w:ascii="Arial" w:hAnsi="Arial"/>
                <w:sz w:val="18"/>
              </w:rPr>
              <w:t>Seed → Series C</w:t>
            </w:r>
          </w:p>
        </w:tc>
        <w:tc>
          <w:tcPr>
            <w:tcW w:type="dxa" w:w="1872"/>
            <w:shd w:val="clear" w:color="auto" w:fill="FFFFFF"/>
            <w:tcW w:w="1600" w:type="dxa"/>
            <w:vAlign w:val="center"/>
          </w:tcPr>
          <w:p>
            <w:pPr>
              <w:jc w:val="left"/>
            </w:pPr>
            <w:r>
              <w:rPr>
                <w:rFonts w:ascii="Arial" w:hAnsi="Arial"/>
                <w:sz w:val="18"/>
              </w:rPr>
              <w:t>$500K – $15M</w:t>
            </w:r>
          </w:p>
        </w:tc>
        <w:tc>
          <w:tcPr>
            <w:tcW w:type="dxa" w:w="1872"/>
            <w:shd w:val="clear" w:color="auto" w:fill="FFFFFF"/>
            <w:tcW w:w="3360" w:type="dxa"/>
            <w:vAlign w:val="center"/>
          </w:tcPr>
          <w:p>
            <w:pPr>
              <w:jc w:val="left"/>
            </w:pPr>
            <w:r>
              <w:rPr>
                <w:rFonts w:ascii="Arial" w:hAnsi="Arial"/>
                <w:sz w:val="18"/>
              </w:rPr>
              <w:t>SaaS, Consumer, B2B</w:t>
            </w:r>
          </w:p>
        </w:tc>
      </w:tr>
      <w:tr>
        <w:tc>
          <w:tcPr>
            <w:tcW w:type="dxa" w:w="1872"/>
            <w:shd w:val="clear" w:color="auto" w:fill="F0F4FF"/>
            <w:tcW w:w="400" w:type="dxa"/>
            <w:vAlign w:val="center"/>
          </w:tcPr>
          <w:p>
            <w:pPr>
              <w:jc w:val="center"/>
            </w:pPr>
            <w:r>
              <w:rPr>
                <w:rFonts w:ascii="Arial" w:hAnsi="Arial"/>
                <w:b/>
                <w:color w:val="646478"/>
                <w:sz w:val="18"/>
              </w:rPr>
              <w:t>3</w:t>
            </w:r>
          </w:p>
        </w:tc>
        <w:tc>
          <w:tcPr>
            <w:tcW w:type="dxa" w:w="1872"/>
            <w:shd w:val="clear" w:color="auto" w:fill="F0F4FF"/>
            <w:tcW w:w="2000" w:type="dxa"/>
            <w:vAlign w:val="center"/>
          </w:tcPr>
          <w:p>
            <w:pPr>
              <w:jc w:val="left"/>
            </w:pPr>
            <w:r>
              <w:rPr>
                <w:rFonts w:ascii="Arial" w:hAnsi="Arial"/>
                <w:sz w:val="18"/>
              </w:rPr>
              <w:t>Blume Ventures</w:t>
            </w:r>
          </w:p>
        </w:tc>
        <w:tc>
          <w:tcPr>
            <w:tcW w:type="dxa" w:w="1872"/>
            <w:shd w:val="clear" w:color="auto" w:fill="F0F4FF"/>
            <w:tcW w:w="1600" w:type="dxa"/>
            <w:vAlign w:val="center"/>
          </w:tcPr>
          <w:p>
            <w:pPr>
              <w:jc w:val="left"/>
            </w:pPr>
            <w:r>
              <w:rPr>
                <w:rFonts w:ascii="Arial" w:hAnsi="Arial"/>
                <w:sz w:val="18"/>
              </w:rPr>
              <w:t>Pre-seed → Series A</w:t>
            </w:r>
          </w:p>
        </w:tc>
        <w:tc>
          <w:tcPr>
            <w:tcW w:type="dxa" w:w="1872"/>
            <w:shd w:val="clear" w:color="auto" w:fill="F0F4FF"/>
            <w:tcW w:w="1600" w:type="dxa"/>
            <w:vAlign w:val="center"/>
          </w:tcPr>
          <w:p>
            <w:pPr>
              <w:jc w:val="left"/>
            </w:pPr>
            <w:r>
              <w:rPr>
                <w:rFonts w:ascii="Arial" w:hAnsi="Arial"/>
                <w:sz w:val="18"/>
              </w:rPr>
              <w:t>$500K – $3M</w:t>
            </w:r>
          </w:p>
        </w:tc>
        <w:tc>
          <w:tcPr>
            <w:tcW w:type="dxa" w:w="1872"/>
            <w:shd w:val="clear" w:color="auto" w:fill="F0F4FF"/>
            <w:tcW w:w="3360" w:type="dxa"/>
            <w:vAlign w:val="center"/>
          </w:tcPr>
          <w:p>
            <w:pPr>
              <w:jc w:val="left"/>
            </w:pPr>
            <w:r>
              <w:rPr>
                <w:rFonts w:ascii="Arial" w:hAnsi="Arial"/>
                <w:sz w:val="18"/>
              </w:rPr>
              <w:t>DeepTech, B2B, SaaS</w:t>
            </w:r>
          </w:p>
        </w:tc>
      </w:tr>
      <w:tr>
        <w:tc>
          <w:tcPr>
            <w:tcW w:type="dxa" w:w="1872"/>
            <w:shd w:val="clear" w:color="auto" w:fill="FFFFFF"/>
            <w:tcW w:w="400" w:type="dxa"/>
            <w:vAlign w:val="center"/>
          </w:tcPr>
          <w:p>
            <w:pPr>
              <w:jc w:val="center"/>
            </w:pPr>
            <w:r>
              <w:rPr>
                <w:rFonts w:ascii="Arial" w:hAnsi="Arial"/>
                <w:b/>
                <w:color w:val="646478"/>
                <w:sz w:val="18"/>
              </w:rPr>
              <w:t>4</w:t>
            </w:r>
          </w:p>
        </w:tc>
        <w:tc>
          <w:tcPr>
            <w:tcW w:type="dxa" w:w="1872"/>
            <w:shd w:val="clear" w:color="auto" w:fill="FFFFFF"/>
            <w:tcW w:w="2000" w:type="dxa"/>
            <w:vAlign w:val="center"/>
          </w:tcPr>
          <w:p>
            <w:pPr>
              <w:jc w:val="left"/>
            </w:pPr>
            <w:r>
              <w:rPr>
                <w:rFonts w:ascii="Arial" w:hAnsi="Arial"/>
                <w:sz w:val="18"/>
              </w:rPr>
              <w:t>Elevation Capital</w:t>
            </w:r>
          </w:p>
        </w:tc>
        <w:tc>
          <w:tcPr>
            <w:tcW w:type="dxa" w:w="1872"/>
            <w:shd w:val="clear" w:color="auto" w:fill="FFFFFF"/>
            <w:tcW w:w="1600" w:type="dxa"/>
            <w:vAlign w:val="center"/>
          </w:tcPr>
          <w:p>
            <w:pPr>
              <w:jc w:val="left"/>
            </w:pPr>
            <w:r>
              <w:rPr>
                <w:rFonts w:ascii="Arial" w:hAnsi="Arial"/>
                <w:sz w:val="18"/>
              </w:rPr>
              <w:t>Seed → Series B</w:t>
            </w:r>
          </w:p>
        </w:tc>
        <w:tc>
          <w:tcPr>
            <w:tcW w:type="dxa" w:w="1872"/>
            <w:shd w:val="clear" w:color="auto" w:fill="FFFFFF"/>
            <w:tcW w:w="1600" w:type="dxa"/>
            <w:vAlign w:val="center"/>
          </w:tcPr>
          <w:p>
            <w:pPr>
              <w:jc w:val="left"/>
            </w:pPr>
            <w:r>
              <w:rPr>
                <w:rFonts w:ascii="Arial" w:hAnsi="Arial"/>
                <w:sz w:val="18"/>
              </w:rPr>
              <w:t>$1M – $20M</w:t>
            </w:r>
          </w:p>
        </w:tc>
        <w:tc>
          <w:tcPr>
            <w:tcW w:type="dxa" w:w="1872"/>
            <w:shd w:val="clear" w:color="auto" w:fill="FFFFFF"/>
            <w:tcW w:w="3360" w:type="dxa"/>
            <w:vAlign w:val="center"/>
          </w:tcPr>
          <w:p>
            <w:pPr>
              <w:jc w:val="left"/>
            </w:pPr>
            <w:r>
              <w:rPr>
                <w:rFonts w:ascii="Arial" w:hAnsi="Arial"/>
                <w:sz w:val="18"/>
              </w:rPr>
              <w:t>Fintech, Consumer, SaaS</w:t>
            </w:r>
          </w:p>
        </w:tc>
      </w:tr>
      <w:tr>
        <w:tc>
          <w:tcPr>
            <w:tcW w:type="dxa" w:w="1872"/>
            <w:shd w:val="clear" w:color="auto" w:fill="F0F4FF"/>
            <w:tcW w:w="400" w:type="dxa"/>
            <w:vAlign w:val="center"/>
          </w:tcPr>
          <w:p>
            <w:pPr>
              <w:jc w:val="center"/>
            </w:pPr>
            <w:r>
              <w:rPr>
                <w:rFonts w:ascii="Arial" w:hAnsi="Arial"/>
                <w:b/>
                <w:color w:val="646478"/>
                <w:sz w:val="18"/>
              </w:rPr>
              <w:t>5</w:t>
            </w:r>
          </w:p>
        </w:tc>
        <w:tc>
          <w:tcPr>
            <w:tcW w:type="dxa" w:w="1872"/>
            <w:shd w:val="clear" w:color="auto" w:fill="F0F4FF"/>
            <w:tcW w:w="2000" w:type="dxa"/>
            <w:vAlign w:val="center"/>
          </w:tcPr>
          <w:p>
            <w:pPr>
              <w:jc w:val="left"/>
            </w:pPr>
            <w:r>
              <w:rPr>
                <w:rFonts w:ascii="Arial" w:hAnsi="Arial"/>
                <w:sz w:val="18"/>
              </w:rPr>
              <w:t>Lightspeed India</w:t>
            </w:r>
          </w:p>
        </w:tc>
        <w:tc>
          <w:tcPr>
            <w:tcW w:type="dxa" w:w="1872"/>
            <w:shd w:val="clear" w:color="auto" w:fill="F0F4FF"/>
            <w:tcW w:w="1600" w:type="dxa"/>
            <w:vAlign w:val="center"/>
          </w:tcPr>
          <w:p>
            <w:pPr>
              <w:jc w:val="left"/>
            </w:pPr>
            <w:r>
              <w:rPr>
                <w:rFonts w:ascii="Arial" w:hAnsi="Arial"/>
                <w:sz w:val="18"/>
              </w:rPr>
              <w:t>Seed → Series B</w:t>
            </w:r>
          </w:p>
        </w:tc>
        <w:tc>
          <w:tcPr>
            <w:tcW w:type="dxa" w:w="1872"/>
            <w:shd w:val="clear" w:color="auto" w:fill="F0F4FF"/>
            <w:tcW w:w="1600" w:type="dxa"/>
            <w:vAlign w:val="center"/>
          </w:tcPr>
          <w:p>
            <w:pPr>
              <w:jc w:val="left"/>
            </w:pPr>
            <w:r>
              <w:rPr>
                <w:rFonts w:ascii="Arial" w:hAnsi="Arial"/>
                <w:sz w:val="18"/>
              </w:rPr>
              <w:t>$1M – $15M</w:t>
            </w:r>
          </w:p>
        </w:tc>
        <w:tc>
          <w:tcPr>
            <w:tcW w:type="dxa" w:w="1872"/>
            <w:shd w:val="clear" w:color="auto" w:fill="F0F4FF"/>
            <w:tcW w:w="3360" w:type="dxa"/>
            <w:vAlign w:val="center"/>
          </w:tcPr>
          <w:p>
            <w:pPr>
              <w:jc w:val="left"/>
            </w:pPr>
            <w:r>
              <w:rPr>
                <w:rFonts w:ascii="Arial" w:hAnsi="Arial"/>
                <w:sz w:val="18"/>
              </w:rPr>
              <w:t>Enterprise SaaS, Fintech, B2B</w:t>
            </w:r>
          </w:p>
        </w:tc>
      </w:tr>
      <w:tr>
        <w:tc>
          <w:tcPr>
            <w:tcW w:type="dxa" w:w="1872"/>
            <w:shd w:val="clear" w:color="auto" w:fill="FFFFFF"/>
            <w:tcW w:w="400" w:type="dxa"/>
            <w:vAlign w:val="center"/>
          </w:tcPr>
          <w:p>
            <w:pPr>
              <w:jc w:val="center"/>
            </w:pPr>
            <w:r>
              <w:rPr>
                <w:rFonts w:ascii="Arial" w:hAnsi="Arial"/>
                <w:b/>
                <w:color w:val="646478"/>
                <w:sz w:val="18"/>
              </w:rPr>
              <w:t>6</w:t>
            </w:r>
          </w:p>
        </w:tc>
        <w:tc>
          <w:tcPr>
            <w:tcW w:type="dxa" w:w="1872"/>
            <w:shd w:val="clear" w:color="auto" w:fill="FFFFFF"/>
            <w:tcW w:w="2000" w:type="dxa"/>
            <w:vAlign w:val="center"/>
          </w:tcPr>
          <w:p>
            <w:pPr>
              <w:jc w:val="left"/>
            </w:pPr>
            <w:r>
              <w:rPr>
                <w:rFonts w:ascii="Arial" w:hAnsi="Arial"/>
                <w:sz w:val="18"/>
              </w:rPr>
              <w:t>3one4 Capital</w:t>
            </w:r>
          </w:p>
        </w:tc>
        <w:tc>
          <w:tcPr>
            <w:tcW w:type="dxa" w:w="1872"/>
            <w:shd w:val="clear" w:color="auto" w:fill="FFFFFF"/>
            <w:tcW w:w="1600" w:type="dxa"/>
            <w:vAlign w:val="center"/>
          </w:tcPr>
          <w:p>
            <w:pPr>
              <w:jc w:val="left"/>
            </w:pPr>
            <w:r>
              <w:rPr>
                <w:rFonts w:ascii="Arial" w:hAnsi="Arial"/>
                <w:sz w:val="18"/>
              </w:rPr>
              <w:t>Seed → Series A</w:t>
            </w:r>
          </w:p>
        </w:tc>
        <w:tc>
          <w:tcPr>
            <w:tcW w:type="dxa" w:w="1872"/>
            <w:shd w:val="clear" w:color="auto" w:fill="FFFFFF"/>
            <w:tcW w:w="1600" w:type="dxa"/>
            <w:vAlign w:val="center"/>
          </w:tcPr>
          <w:p>
            <w:pPr>
              <w:jc w:val="left"/>
            </w:pPr>
            <w:r>
              <w:rPr>
                <w:rFonts w:ascii="Arial" w:hAnsi="Arial"/>
                <w:sz w:val="18"/>
              </w:rPr>
              <w:t>$500K – $5M</w:t>
            </w:r>
          </w:p>
        </w:tc>
        <w:tc>
          <w:tcPr>
            <w:tcW w:type="dxa" w:w="1872"/>
            <w:shd w:val="clear" w:color="auto" w:fill="FFFFFF"/>
            <w:tcW w:w="3360" w:type="dxa"/>
            <w:vAlign w:val="center"/>
          </w:tcPr>
          <w:p>
            <w:pPr>
              <w:jc w:val="left"/>
            </w:pPr>
            <w:r>
              <w:rPr>
                <w:rFonts w:ascii="Arial" w:hAnsi="Arial"/>
                <w:sz w:val="18"/>
              </w:rPr>
              <w:t>SaaS, Fintech, Consumer</w:t>
            </w:r>
          </w:p>
        </w:tc>
      </w:tr>
      <w:tr>
        <w:tc>
          <w:tcPr>
            <w:tcW w:type="dxa" w:w="1872"/>
            <w:shd w:val="clear" w:color="auto" w:fill="F0F4FF"/>
            <w:tcW w:w="400" w:type="dxa"/>
            <w:vAlign w:val="center"/>
          </w:tcPr>
          <w:p>
            <w:pPr>
              <w:jc w:val="center"/>
            </w:pPr>
            <w:r>
              <w:rPr>
                <w:rFonts w:ascii="Arial" w:hAnsi="Arial"/>
                <w:b/>
                <w:color w:val="646478"/>
                <w:sz w:val="18"/>
              </w:rPr>
              <w:t>7</w:t>
            </w:r>
          </w:p>
        </w:tc>
        <w:tc>
          <w:tcPr>
            <w:tcW w:type="dxa" w:w="1872"/>
            <w:shd w:val="clear" w:color="auto" w:fill="F0F4FF"/>
            <w:tcW w:w="2000" w:type="dxa"/>
            <w:vAlign w:val="center"/>
          </w:tcPr>
          <w:p>
            <w:pPr>
              <w:jc w:val="left"/>
            </w:pPr>
            <w:r>
              <w:rPr>
                <w:rFonts w:ascii="Arial" w:hAnsi="Arial"/>
                <w:sz w:val="18"/>
              </w:rPr>
              <w:t>Nexus Venture Partners</w:t>
            </w:r>
          </w:p>
        </w:tc>
        <w:tc>
          <w:tcPr>
            <w:tcW w:type="dxa" w:w="1872"/>
            <w:shd w:val="clear" w:color="auto" w:fill="F0F4FF"/>
            <w:tcW w:w="1600" w:type="dxa"/>
            <w:vAlign w:val="center"/>
          </w:tcPr>
          <w:p>
            <w:pPr>
              <w:jc w:val="left"/>
            </w:pPr>
            <w:r>
              <w:rPr>
                <w:rFonts w:ascii="Arial" w:hAnsi="Arial"/>
                <w:sz w:val="18"/>
              </w:rPr>
              <w:t>Seed → Series B</w:t>
            </w:r>
          </w:p>
        </w:tc>
        <w:tc>
          <w:tcPr>
            <w:tcW w:type="dxa" w:w="1872"/>
            <w:shd w:val="clear" w:color="auto" w:fill="F0F4FF"/>
            <w:tcW w:w="1600" w:type="dxa"/>
            <w:vAlign w:val="center"/>
          </w:tcPr>
          <w:p>
            <w:pPr>
              <w:jc w:val="left"/>
            </w:pPr>
            <w:r>
              <w:rPr>
                <w:rFonts w:ascii="Arial" w:hAnsi="Arial"/>
                <w:sz w:val="18"/>
              </w:rPr>
              <w:t>$1M – $15M</w:t>
            </w:r>
          </w:p>
        </w:tc>
        <w:tc>
          <w:tcPr>
            <w:tcW w:type="dxa" w:w="1872"/>
            <w:shd w:val="clear" w:color="auto" w:fill="F0F4FF"/>
            <w:tcW w:w="3360" w:type="dxa"/>
            <w:vAlign w:val="center"/>
          </w:tcPr>
          <w:p>
            <w:pPr>
              <w:jc w:val="left"/>
            </w:pPr>
            <w:r>
              <w:rPr>
                <w:rFonts w:ascii="Arial" w:hAnsi="Arial"/>
                <w:sz w:val="18"/>
              </w:rPr>
              <w:t>Global SaaS, Consumer</w:t>
            </w:r>
          </w:p>
        </w:tc>
      </w:tr>
      <w:tr>
        <w:tc>
          <w:tcPr>
            <w:tcW w:type="dxa" w:w="1872"/>
            <w:shd w:val="clear" w:color="auto" w:fill="FFFFFF"/>
            <w:tcW w:w="400" w:type="dxa"/>
            <w:vAlign w:val="center"/>
          </w:tcPr>
          <w:p>
            <w:pPr>
              <w:jc w:val="center"/>
            </w:pPr>
            <w:r>
              <w:rPr>
                <w:rFonts w:ascii="Arial" w:hAnsi="Arial"/>
                <w:b/>
                <w:color w:val="646478"/>
                <w:sz w:val="18"/>
              </w:rPr>
              <w:t>8</w:t>
            </w:r>
          </w:p>
        </w:tc>
        <w:tc>
          <w:tcPr>
            <w:tcW w:type="dxa" w:w="1872"/>
            <w:shd w:val="clear" w:color="auto" w:fill="FFFFFF"/>
            <w:tcW w:w="2000" w:type="dxa"/>
            <w:vAlign w:val="center"/>
          </w:tcPr>
          <w:p>
            <w:pPr>
              <w:jc w:val="left"/>
            </w:pPr>
            <w:r>
              <w:rPr>
                <w:rFonts w:ascii="Arial" w:hAnsi="Arial"/>
                <w:sz w:val="18"/>
              </w:rPr>
              <w:t>Stellaris Venture Partners</w:t>
            </w:r>
          </w:p>
        </w:tc>
        <w:tc>
          <w:tcPr>
            <w:tcW w:type="dxa" w:w="1872"/>
            <w:shd w:val="clear" w:color="auto" w:fill="FFFFFF"/>
            <w:tcW w:w="1600" w:type="dxa"/>
            <w:vAlign w:val="center"/>
          </w:tcPr>
          <w:p>
            <w:pPr>
              <w:jc w:val="left"/>
            </w:pPr>
            <w:r>
              <w:rPr>
                <w:rFonts w:ascii="Arial" w:hAnsi="Arial"/>
                <w:sz w:val="18"/>
              </w:rPr>
              <w:t>Seed → Series A</w:t>
            </w:r>
          </w:p>
        </w:tc>
        <w:tc>
          <w:tcPr>
            <w:tcW w:type="dxa" w:w="1872"/>
            <w:shd w:val="clear" w:color="auto" w:fill="FFFFFF"/>
            <w:tcW w:w="1600" w:type="dxa"/>
            <w:vAlign w:val="center"/>
          </w:tcPr>
          <w:p>
            <w:pPr>
              <w:jc w:val="left"/>
            </w:pPr>
            <w:r>
              <w:rPr>
                <w:rFonts w:ascii="Arial" w:hAnsi="Arial"/>
                <w:sz w:val="18"/>
              </w:rPr>
              <w:t>$500K – $10M</w:t>
            </w:r>
          </w:p>
        </w:tc>
        <w:tc>
          <w:tcPr>
            <w:tcW w:type="dxa" w:w="1872"/>
            <w:shd w:val="clear" w:color="auto" w:fill="FFFFFF"/>
            <w:tcW w:w="3360" w:type="dxa"/>
            <w:vAlign w:val="center"/>
          </w:tcPr>
          <w:p>
            <w:pPr>
              <w:jc w:val="left"/>
            </w:pPr>
            <w:r>
              <w:rPr>
                <w:rFonts w:ascii="Arial" w:hAnsi="Arial"/>
                <w:sz w:val="18"/>
              </w:rPr>
              <w:t>Tech-first, Sector agnostic</w:t>
            </w:r>
          </w:p>
        </w:tc>
      </w:tr>
      <w:tr>
        <w:tc>
          <w:tcPr>
            <w:tcW w:type="dxa" w:w="1872"/>
            <w:shd w:val="clear" w:color="auto" w:fill="F0F4FF"/>
            <w:tcW w:w="400" w:type="dxa"/>
            <w:vAlign w:val="center"/>
          </w:tcPr>
          <w:p>
            <w:pPr>
              <w:jc w:val="center"/>
            </w:pPr>
            <w:r>
              <w:rPr>
                <w:rFonts w:ascii="Arial" w:hAnsi="Arial"/>
                <w:b/>
                <w:color w:val="646478"/>
                <w:sz w:val="18"/>
              </w:rPr>
              <w:t>9</w:t>
            </w:r>
          </w:p>
        </w:tc>
        <w:tc>
          <w:tcPr>
            <w:tcW w:type="dxa" w:w="1872"/>
            <w:shd w:val="clear" w:color="auto" w:fill="F0F4FF"/>
            <w:tcW w:w="2000" w:type="dxa"/>
            <w:vAlign w:val="center"/>
          </w:tcPr>
          <w:p>
            <w:pPr>
              <w:jc w:val="left"/>
            </w:pPr>
            <w:r>
              <w:rPr>
                <w:rFonts w:ascii="Arial" w:hAnsi="Arial"/>
                <w:sz w:val="18"/>
              </w:rPr>
              <w:t>Kalaari Capital</w:t>
            </w:r>
          </w:p>
        </w:tc>
        <w:tc>
          <w:tcPr>
            <w:tcW w:type="dxa" w:w="1872"/>
            <w:shd w:val="clear" w:color="auto" w:fill="F0F4FF"/>
            <w:tcW w:w="1600" w:type="dxa"/>
            <w:vAlign w:val="center"/>
          </w:tcPr>
          <w:p>
            <w:pPr>
              <w:jc w:val="left"/>
            </w:pPr>
            <w:r>
              <w:rPr>
                <w:rFonts w:ascii="Arial" w:hAnsi="Arial"/>
                <w:sz w:val="18"/>
              </w:rPr>
              <w:t>Seed → Series A</w:t>
            </w:r>
          </w:p>
        </w:tc>
        <w:tc>
          <w:tcPr>
            <w:tcW w:type="dxa" w:w="1872"/>
            <w:shd w:val="clear" w:color="auto" w:fill="F0F4FF"/>
            <w:tcW w:w="1600" w:type="dxa"/>
            <w:vAlign w:val="center"/>
          </w:tcPr>
          <w:p>
            <w:pPr>
              <w:jc w:val="left"/>
            </w:pPr>
            <w:r>
              <w:rPr>
                <w:rFonts w:ascii="Arial" w:hAnsi="Arial"/>
                <w:sz w:val="18"/>
              </w:rPr>
              <w:t>$500K – $8M</w:t>
            </w:r>
          </w:p>
        </w:tc>
        <w:tc>
          <w:tcPr>
            <w:tcW w:type="dxa" w:w="1872"/>
            <w:shd w:val="clear" w:color="auto" w:fill="F0F4FF"/>
            <w:tcW w:w="3360" w:type="dxa"/>
            <w:vAlign w:val="center"/>
          </w:tcPr>
          <w:p>
            <w:pPr>
              <w:jc w:val="left"/>
            </w:pPr>
            <w:r>
              <w:rPr>
                <w:rFonts w:ascii="Arial" w:hAnsi="Arial"/>
                <w:sz w:val="18"/>
              </w:rPr>
              <w:t>Consumer Internet, HealthTech</w:t>
            </w:r>
          </w:p>
        </w:tc>
      </w:tr>
      <w:tr>
        <w:tc>
          <w:tcPr>
            <w:tcW w:type="dxa" w:w="1872"/>
            <w:shd w:val="clear" w:color="auto" w:fill="FFFFFF"/>
            <w:tcW w:w="400" w:type="dxa"/>
            <w:vAlign w:val="center"/>
          </w:tcPr>
          <w:p>
            <w:pPr>
              <w:jc w:val="center"/>
            </w:pPr>
            <w:r>
              <w:rPr>
                <w:rFonts w:ascii="Arial" w:hAnsi="Arial"/>
                <w:b/>
                <w:color w:val="646478"/>
                <w:sz w:val="18"/>
              </w:rPr>
              <w:t>10</w:t>
            </w:r>
          </w:p>
        </w:tc>
        <w:tc>
          <w:tcPr>
            <w:tcW w:type="dxa" w:w="1872"/>
            <w:shd w:val="clear" w:color="auto" w:fill="FFFFFF"/>
            <w:tcW w:w="2000" w:type="dxa"/>
            <w:vAlign w:val="center"/>
          </w:tcPr>
          <w:p>
            <w:pPr>
              <w:jc w:val="left"/>
            </w:pPr>
            <w:r>
              <w:rPr>
                <w:rFonts w:ascii="Arial" w:hAnsi="Arial"/>
                <w:sz w:val="18"/>
              </w:rPr>
              <w:t>India Quotient</w:t>
            </w:r>
          </w:p>
        </w:tc>
        <w:tc>
          <w:tcPr>
            <w:tcW w:type="dxa" w:w="1872"/>
            <w:shd w:val="clear" w:color="auto" w:fill="FFFFFF"/>
            <w:tcW w:w="1600" w:type="dxa"/>
            <w:vAlign w:val="center"/>
          </w:tcPr>
          <w:p>
            <w:pPr>
              <w:jc w:val="left"/>
            </w:pPr>
            <w:r>
              <w:rPr>
                <w:rFonts w:ascii="Arial" w:hAnsi="Arial"/>
                <w:sz w:val="18"/>
              </w:rPr>
              <w:t>Seed → Pre-Series A</w:t>
            </w:r>
          </w:p>
        </w:tc>
        <w:tc>
          <w:tcPr>
            <w:tcW w:type="dxa" w:w="1872"/>
            <w:shd w:val="clear" w:color="auto" w:fill="FFFFFF"/>
            <w:tcW w:w="1600" w:type="dxa"/>
            <w:vAlign w:val="center"/>
          </w:tcPr>
          <w:p>
            <w:pPr>
              <w:jc w:val="left"/>
            </w:pPr>
            <w:r>
              <w:rPr>
                <w:rFonts w:ascii="Arial" w:hAnsi="Arial"/>
                <w:sz w:val="18"/>
              </w:rPr>
              <w:t>$300K – $3M</w:t>
            </w:r>
          </w:p>
        </w:tc>
        <w:tc>
          <w:tcPr>
            <w:tcW w:type="dxa" w:w="1872"/>
            <w:shd w:val="clear" w:color="auto" w:fill="FFFFFF"/>
            <w:tcW w:w="3360" w:type="dxa"/>
            <w:vAlign w:val="center"/>
          </w:tcPr>
          <w:p>
            <w:pPr>
              <w:jc w:val="left"/>
            </w:pPr>
            <w:r>
              <w:rPr>
                <w:rFonts w:ascii="Arial" w:hAnsi="Arial"/>
                <w:sz w:val="18"/>
              </w:rPr>
              <w:t>Bharat, Consumer, Agritech</w:t>
            </w:r>
          </w:p>
        </w:tc>
      </w:tr>
      <w:tr>
        <w:tc>
          <w:tcPr>
            <w:tcW w:type="dxa" w:w="1872"/>
            <w:shd w:val="clear" w:color="auto" w:fill="F0F4FF"/>
            <w:tcW w:w="400" w:type="dxa"/>
            <w:vAlign w:val="center"/>
          </w:tcPr>
          <w:p>
            <w:pPr>
              <w:jc w:val="center"/>
            </w:pPr>
            <w:r>
              <w:rPr>
                <w:rFonts w:ascii="Arial" w:hAnsi="Arial"/>
                <w:b/>
                <w:color w:val="646478"/>
                <w:sz w:val="18"/>
              </w:rPr>
              <w:t>11</w:t>
            </w:r>
          </w:p>
        </w:tc>
        <w:tc>
          <w:tcPr>
            <w:tcW w:type="dxa" w:w="1872"/>
            <w:shd w:val="clear" w:color="auto" w:fill="F0F4FF"/>
            <w:tcW w:w="2000" w:type="dxa"/>
            <w:vAlign w:val="center"/>
          </w:tcPr>
          <w:p>
            <w:pPr>
              <w:jc w:val="left"/>
            </w:pPr>
            <w:r>
              <w:rPr>
                <w:rFonts w:ascii="Arial" w:hAnsi="Arial"/>
                <w:sz w:val="18"/>
              </w:rPr>
              <w:t>Better Capital</w:t>
            </w:r>
          </w:p>
        </w:tc>
        <w:tc>
          <w:tcPr>
            <w:tcW w:type="dxa" w:w="1872"/>
            <w:shd w:val="clear" w:color="auto" w:fill="F0F4FF"/>
            <w:tcW w:w="1600" w:type="dxa"/>
            <w:vAlign w:val="center"/>
          </w:tcPr>
          <w:p>
            <w:pPr>
              <w:jc w:val="left"/>
            </w:pPr>
            <w:r>
              <w:rPr>
                <w:rFonts w:ascii="Arial" w:hAnsi="Arial"/>
                <w:sz w:val="18"/>
              </w:rPr>
              <w:t>Pre-seed → Seed</w:t>
            </w:r>
          </w:p>
        </w:tc>
        <w:tc>
          <w:tcPr>
            <w:tcW w:type="dxa" w:w="1872"/>
            <w:shd w:val="clear" w:color="auto" w:fill="F0F4FF"/>
            <w:tcW w:w="1600" w:type="dxa"/>
            <w:vAlign w:val="center"/>
          </w:tcPr>
          <w:p>
            <w:pPr>
              <w:jc w:val="left"/>
            </w:pPr>
            <w:r>
              <w:rPr>
                <w:rFonts w:ascii="Arial" w:hAnsi="Arial"/>
                <w:sz w:val="18"/>
              </w:rPr>
              <w:t>$100K – $2M</w:t>
            </w:r>
          </w:p>
        </w:tc>
        <w:tc>
          <w:tcPr>
            <w:tcW w:type="dxa" w:w="1872"/>
            <w:shd w:val="clear" w:color="auto" w:fill="F0F4FF"/>
            <w:tcW w:w="3360" w:type="dxa"/>
            <w:vAlign w:val="center"/>
          </w:tcPr>
          <w:p>
            <w:pPr>
              <w:jc w:val="left"/>
            </w:pPr>
            <w:r>
              <w:rPr>
                <w:rFonts w:ascii="Arial" w:hAnsi="Arial"/>
                <w:sz w:val="18"/>
              </w:rPr>
              <w:t>Sector agnostic, First traction</w:t>
            </w:r>
          </w:p>
        </w:tc>
      </w:tr>
      <w:tr>
        <w:tc>
          <w:tcPr>
            <w:tcW w:type="dxa" w:w="1872"/>
            <w:shd w:val="clear" w:color="auto" w:fill="FFFFFF"/>
            <w:tcW w:w="400" w:type="dxa"/>
            <w:vAlign w:val="center"/>
          </w:tcPr>
          <w:p>
            <w:pPr>
              <w:jc w:val="center"/>
            </w:pPr>
            <w:r>
              <w:rPr>
                <w:rFonts w:ascii="Arial" w:hAnsi="Arial"/>
                <w:b/>
                <w:color w:val="646478"/>
                <w:sz w:val="18"/>
              </w:rPr>
              <w:t>12</w:t>
            </w:r>
          </w:p>
        </w:tc>
        <w:tc>
          <w:tcPr>
            <w:tcW w:type="dxa" w:w="1872"/>
            <w:shd w:val="clear" w:color="auto" w:fill="FFFFFF"/>
            <w:tcW w:w="2000" w:type="dxa"/>
            <w:vAlign w:val="center"/>
          </w:tcPr>
          <w:p>
            <w:pPr>
              <w:jc w:val="left"/>
            </w:pPr>
            <w:r>
              <w:rPr>
                <w:rFonts w:ascii="Arial" w:hAnsi="Arial"/>
                <w:sz w:val="18"/>
              </w:rPr>
              <w:t>100X.VC</w:t>
            </w:r>
          </w:p>
        </w:tc>
        <w:tc>
          <w:tcPr>
            <w:tcW w:type="dxa" w:w="1872"/>
            <w:shd w:val="clear" w:color="auto" w:fill="FFFFFF"/>
            <w:tcW w:w="1600" w:type="dxa"/>
            <w:vAlign w:val="center"/>
          </w:tcPr>
          <w:p>
            <w:pPr>
              <w:jc w:val="left"/>
            </w:pPr>
            <w:r>
              <w:rPr>
                <w:rFonts w:ascii="Arial" w:hAnsi="Arial"/>
                <w:sz w:val="18"/>
              </w:rPr>
              <w:t>Pre-seed</w:t>
            </w:r>
          </w:p>
        </w:tc>
        <w:tc>
          <w:tcPr>
            <w:tcW w:type="dxa" w:w="1872"/>
            <w:shd w:val="clear" w:color="auto" w:fill="FFFFFF"/>
            <w:tcW w:w="1600" w:type="dxa"/>
            <w:vAlign w:val="center"/>
          </w:tcPr>
          <w:p>
            <w:pPr>
              <w:jc w:val="left"/>
            </w:pPr>
            <w:r>
              <w:rPr>
                <w:rFonts w:ascii="Arial" w:hAnsi="Arial"/>
                <w:sz w:val="18"/>
              </w:rPr>
              <w:t>₹50L – ₹1.5Cr</w:t>
            </w:r>
          </w:p>
        </w:tc>
        <w:tc>
          <w:tcPr>
            <w:tcW w:type="dxa" w:w="1872"/>
            <w:shd w:val="clear" w:color="auto" w:fill="FFFFFF"/>
            <w:tcW w:w="3360" w:type="dxa"/>
            <w:vAlign w:val="center"/>
          </w:tcPr>
          <w:p>
            <w:pPr>
              <w:jc w:val="left"/>
            </w:pPr>
            <w:r>
              <w:rPr>
                <w:rFonts w:ascii="Arial" w:hAnsi="Arial"/>
                <w:sz w:val="18"/>
              </w:rPr>
              <w:t>Sector agnostic, iSAFE model</w:t>
            </w:r>
          </w:p>
        </w:tc>
      </w:tr>
      <w:tr>
        <w:tc>
          <w:tcPr>
            <w:tcW w:type="dxa" w:w="1872"/>
            <w:shd w:val="clear" w:color="auto" w:fill="F0F4FF"/>
            <w:tcW w:w="400" w:type="dxa"/>
            <w:vAlign w:val="center"/>
          </w:tcPr>
          <w:p>
            <w:pPr>
              <w:jc w:val="center"/>
            </w:pPr>
            <w:r>
              <w:rPr>
                <w:rFonts w:ascii="Arial" w:hAnsi="Arial"/>
                <w:b/>
                <w:color w:val="646478"/>
                <w:sz w:val="18"/>
              </w:rPr>
              <w:t>13</w:t>
            </w:r>
          </w:p>
        </w:tc>
        <w:tc>
          <w:tcPr>
            <w:tcW w:type="dxa" w:w="1872"/>
            <w:shd w:val="clear" w:color="auto" w:fill="F0F4FF"/>
            <w:tcW w:w="2000" w:type="dxa"/>
            <w:vAlign w:val="center"/>
          </w:tcPr>
          <w:p>
            <w:pPr>
              <w:jc w:val="left"/>
            </w:pPr>
            <w:r>
              <w:rPr>
                <w:rFonts w:ascii="Arial" w:hAnsi="Arial"/>
                <w:sz w:val="18"/>
              </w:rPr>
              <w:t>Kae Capital</w:t>
            </w:r>
          </w:p>
        </w:tc>
        <w:tc>
          <w:tcPr>
            <w:tcW w:type="dxa" w:w="1872"/>
            <w:shd w:val="clear" w:color="auto" w:fill="F0F4FF"/>
            <w:tcW w:w="1600" w:type="dxa"/>
            <w:vAlign w:val="center"/>
          </w:tcPr>
          <w:p>
            <w:pPr>
              <w:jc w:val="left"/>
            </w:pPr>
            <w:r>
              <w:rPr>
                <w:rFonts w:ascii="Arial" w:hAnsi="Arial"/>
                <w:sz w:val="18"/>
              </w:rPr>
              <w:t>Seed → Series A</w:t>
            </w:r>
          </w:p>
        </w:tc>
        <w:tc>
          <w:tcPr>
            <w:tcW w:type="dxa" w:w="1872"/>
            <w:shd w:val="clear" w:color="auto" w:fill="F0F4FF"/>
            <w:tcW w:w="1600" w:type="dxa"/>
            <w:vAlign w:val="center"/>
          </w:tcPr>
          <w:p>
            <w:pPr>
              <w:jc w:val="left"/>
            </w:pPr>
            <w:r>
              <w:rPr>
                <w:rFonts w:ascii="Arial" w:hAnsi="Arial"/>
                <w:sz w:val="18"/>
              </w:rPr>
              <w:t>$500K – $5M</w:t>
            </w:r>
          </w:p>
        </w:tc>
        <w:tc>
          <w:tcPr>
            <w:tcW w:type="dxa" w:w="1872"/>
            <w:shd w:val="clear" w:color="auto" w:fill="F0F4FF"/>
            <w:tcW w:w="3360" w:type="dxa"/>
            <w:vAlign w:val="center"/>
          </w:tcPr>
          <w:p>
            <w:pPr>
              <w:jc w:val="left"/>
            </w:pPr>
            <w:r>
              <w:rPr>
                <w:rFonts w:ascii="Arial" w:hAnsi="Arial"/>
                <w:sz w:val="18"/>
              </w:rPr>
              <w:t>Tech-first, Sector agnostic</w:t>
            </w:r>
          </w:p>
        </w:tc>
      </w:tr>
      <w:tr>
        <w:tc>
          <w:tcPr>
            <w:tcW w:type="dxa" w:w="1872"/>
            <w:shd w:val="clear" w:color="auto" w:fill="FFFFFF"/>
            <w:tcW w:w="400" w:type="dxa"/>
            <w:vAlign w:val="center"/>
          </w:tcPr>
          <w:p>
            <w:pPr>
              <w:jc w:val="center"/>
            </w:pPr>
            <w:r>
              <w:rPr>
                <w:rFonts w:ascii="Arial" w:hAnsi="Arial"/>
                <w:b/>
                <w:color w:val="646478"/>
                <w:sz w:val="18"/>
              </w:rPr>
              <w:t>14</w:t>
            </w:r>
          </w:p>
        </w:tc>
        <w:tc>
          <w:tcPr>
            <w:tcW w:type="dxa" w:w="1872"/>
            <w:shd w:val="clear" w:color="auto" w:fill="FFFFFF"/>
            <w:tcW w:w="2000" w:type="dxa"/>
            <w:vAlign w:val="center"/>
          </w:tcPr>
          <w:p>
            <w:pPr>
              <w:jc w:val="left"/>
            </w:pPr>
            <w:r>
              <w:rPr>
                <w:rFonts w:ascii="Arial" w:hAnsi="Arial"/>
                <w:sz w:val="18"/>
              </w:rPr>
              <w:t>Chiratae Ventures</w:t>
            </w:r>
          </w:p>
        </w:tc>
        <w:tc>
          <w:tcPr>
            <w:tcW w:type="dxa" w:w="1872"/>
            <w:shd w:val="clear" w:color="auto" w:fill="FFFFFF"/>
            <w:tcW w:w="1600" w:type="dxa"/>
            <w:vAlign w:val="center"/>
          </w:tcPr>
          <w:p>
            <w:pPr>
              <w:jc w:val="left"/>
            </w:pPr>
            <w:r>
              <w:rPr>
                <w:rFonts w:ascii="Arial" w:hAnsi="Arial"/>
                <w:sz w:val="18"/>
              </w:rPr>
              <w:t>Seed → Series B</w:t>
            </w:r>
          </w:p>
        </w:tc>
        <w:tc>
          <w:tcPr>
            <w:tcW w:type="dxa" w:w="1872"/>
            <w:shd w:val="clear" w:color="auto" w:fill="FFFFFF"/>
            <w:tcW w:w="1600" w:type="dxa"/>
            <w:vAlign w:val="center"/>
          </w:tcPr>
          <w:p>
            <w:pPr>
              <w:jc w:val="left"/>
            </w:pPr>
            <w:r>
              <w:rPr>
                <w:rFonts w:ascii="Arial" w:hAnsi="Arial"/>
                <w:sz w:val="18"/>
              </w:rPr>
              <w:t>$1M – $10M</w:t>
            </w:r>
          </w:p>
        </w:tc>
        <w:tc>
          <w:tcPr>
            <w:tcW w:type="dxa" w:w="1872"/>
            <w:shd w:val="clear" w:color="auto" w:fill="FFFFFF"/>
            <w:tcW w:w="3360" w:type="dxa"/>
            <w:vAlign w:val="center"/>
          </w:tcPr>
          <w:p>
            <w:pPr>
              <w:jc w:val="left"/>
            </w:pPr>
            <w:r>
              <w:rPr>
                <w:rFonts w:ascii="Arial" w:hAnsi="Arial"/>
                <w:sz w:val="18"/>
              </w:rPr>
              <w:t>Consumer, HealthTech, SaaS</w:t>
            </w:r>
          </w:p>
        </w:tc>
      </w:tr>
      <w:tr>
        <w:tc>
          <w:tcPr>
            <w:tcW w:type="dxa" w:w="1872"/>
            <w:shd w:val="clear" w:color="auto" w:fill="F0F4FF"/>
            <w:tcW w:w="400" w:type="dxa"/>
            <w:vAlign w:val="center"/>
          </w:tcPr>
          <w:p>
            <w:pPr>
              <w:jc w:val="center"/>
            </w:pPr>
            <w:r>
              <w:rPr>
                <w:rFonts w:ascii="Arial" w:hAnsi="Arial"/>
                <w:b/>
                <w:color w:val="646478"/>
                <w:sz w:val="18"/>
              </w:rPr>
              <w:t>15</w:t>
            </w:r>
          </w:p>
        </w:tc>
        <w:tc>
          <w:tcPr>
            <w:tcW w:type="dxa" w:w="1872"/>
            <w:shd w:val="clear" w:color="auto" w:fill="F0F4FF"/>
            <w:tcW w:w="2000" w:type="dxa"/>
            <w:vAlign w:val="center"/>
          </w:tcPr>
          <w:p>
            <w:pPr>
              <w:jc w:val="left"/>
            </w:pPr>
            <w:r>
              <w:rPr>
                <w:rFonts w:ascii="Arial" w:hAnsi="Arial"/>
                <w:sz w:val="18"/>
              </w:rPr>
              <w:t>Fireside Ventures</w:t>
            </w:r>
          </w:p>
        </w:tc>
        <w:tc>
          <w:tcPr>
            <w:tcW w:type="dxa" w:w="1872"/>
            <w:shd w:val="clear" w:color="auto" w:fill="F0F4FF"/>
            <w:tcW w:w="1600" w:type="dxa"/>
            <w:vAlign w:val="center"/>
          </w:tcPr>
          <w:p>
            <w:pPr>
              <w:jc w:val="left"/>
            </w:pPr>
            <w:r>
              <w:rPr>
                <w:rFonts w:ascii="Arial" w:hAnsi="Arial"/>
                <w:sz w:val="18"/>
              </w:rPr>
              <w:t>Seed → Series A</w:t>
            </w:r>
          </w:p>
        </w:tc>
        <w:tc>
          <w:tcPr>
            <w:tcW w:type="dxa" w:w="1872"/>
            <w:shd w:val="clear" w:color="auto" w:fill="F0F4FF"/>
            <w:tcW w:w="1600" w:type="dxa"/>
            <w:vAlign w:val="center"/>
          </w:tcPr>
          <w:p>
            <w:pPr>
              <w:jc w:val="left"/>
            </w:pPr>
            <w:r>
              <w:rPr>
                <w:rFonts w:ascii="Arial" w:hAnsi="Arial"/>
                <w:sz w:val="18"/>
              </w:rPr>
              <w:t>$1M – $8M</w:t>
            </w:r>
          </w:p>
        </w:tc>
        <w:tc>
          <w:tcPr>
            <w:tcW w:type="dxa" w:w="1872"/>
            <w:shd w:val="clear" w:color="auto" w:fill="F0F4FF"/>
            <w:tcW w:w="3360" w:type="dxa"/>
            <w:vAlign w:val="center"/>
          </w:tcPr>
          <w:p>
            <w:pPr>
              <w:jc w:val="left"/>
            </w:pPr>
            <w:r>
              <w:rPr>
                <w:rFonts w:ascii="Arial" w:hAnsi="Arial"/>
                <w:sz w:val="18"/>
              </w:rPr>
              <w:t>D2C, Consumer Brands</w:t>
            </w:r>
          </w:p>
        </w:tc>
      </w:tr>
      <w:tr>
        <w:tc>
          <w:tcPr>
            <w:tcW w:type="dxa" w:w="1872"/>
            <w:shd w:val="clear" w:color="auto" w:fill="FFFFFF"/>
            <w:tcW w:w="400" w:type="dxa"/>
            <w:vAlign w:val="center"/>
          </w:tcPr>
          <w:p>
            <w:pPr>
              <w:jc w:val="center"/>
            </w:pPr>
            <w:r>
              <w:rPr>
                <w:rFonts w:ascii="Arial" w:hAnsi="Arial"/>
                <w:b/>
                <w:color w:val="646478"/>
                <w:sz w:val="18"/>
              </w:rPr>
              <w:t>16</w:t>
            </w:r>
          </w:p>
        </w:tc>
        <w:tc>
          <w:tcPr>
            <w:tcW w:type="dxa" w:w="1872"/>
            <w:shd w:val="clear" w:color="auto" w:fill="FFFFFF"/>
            <w:tcW w:w="2000" w:type="dxa"/>
            <w:vAlign w:val="center"/>
          </w:tcPr>
          <w:p>
            <w:pPr>
              <w:jc w:val="left"/>
            </w:pPr>
            <w:r>
              <w:rPr>
                <w:rFonts w:ascii="Arial" w:hAnsi="Arial"/>
                <w:sz w:val="18"/>
              </w:rPr>
              <w:t>Speciale Invest</w:t>
            </w:r>
          </w:p>
        </w:tc>
        <w:tc>
          <w:tcPr>
            <w:tcW w:type="dxa" w:w="1872"/>
            <w:shd w:val="clear" w:color="auto" w:fill="FFFFFF"/>
            <w:tcW w:w="1600" w:type="dxa"/>
            <w:vAlign w:val="center"/>
          </w:tcPr>
          <w:p>
            <w:pPr>
              <w:jc w:val="left"/>
            </w:pPr>
            <w:r>
              <w:rPr>
                <w:rFonts w:ascii="Arial" w:hAnsi="Arial"/>
                <w:sz w:val="18"/>
              </w:rPr>
              <w:t>Pre-seed → Seed</w:t>
            </w:r>
          </w:p>
        </w:tc>
        <w:tc>
          <w:tcPr>
            <w:tcW w:type="dxa" w:w="1872"/>
            <w:shd w:val="clear" w:color="auto" w:fill="FFFFFF"/>
            <w:tcW w:w="1600" w:type="dxa"/>
            <w:vAlign w:val="center"/>
          </w:tcPr>
          <w:p>
            <w:pPr>
              <w:jc w:val="left"/>
            </w:pPr>
            <w:r>
              <w:rPr>
                <w:rFonts w:ascii="Arial" w:hAnsi="Arial"/>
                <w:sz w:val="18"/>
              </w:rPr>
              <w:t>$200K – $2M</w:t>
            </w:r>
          </w:p>
        </w:tc>
        <w:tc>
          <w:tcPr>
            <w:tcW w:type="dxa" w:w="1872"/>
            <w:shd w:val="clear" w:color="auto" w:fill="FFFFFF"/>
            <w:tcW w:w="3360" w:type="dxa"/>
            <w:vAlign w:val="center"/>
          </w:tcPr>
          <w:p>
            <w:pPr>
              <w:jc w:val="left"/>
            </w:pPr>
            <w:r>
              <w:rPr>
                <w:rFonts w:ascii="Arial" w:hAnsi="Arial"/>
                <w:sz w:val="18"/>
              </w:rPr>
              <w:t>DeepTech, Defence, Space</w:t>
            </w:r>
          </w:p>
        </w:tc>
      </w:tr>
      <w:tr>
        <w:tc>
          <w:tcPr>
            <w:tcW w:type="dxa" w:w="1872"/>
            <w:shd w:val="clear" w:color="auto" w:fill="F0F4FF"/>
            <w:tcW w:w="400" w:type="dxa"/>
            <w:vAlign w:val="center"/>
          </w:tcPr>
          <w:p>
            <w:pPr>
              <w:jc w:val="center"/>
            </w:pPr>
            <w:r>
              <w:rPr>
                <w:rFonts w:ascii="Arial" w:hAnsi="Arial"/>
                <w:b/>
                <w:color w:val="646478"/>
                <w:sz w:val="18"/>
              </w:rPr>
              <w:t>17</w:t>
            </w:r>
          </w:p>
        </w:tc>
        <w:tc>
          <w:tcPr>
            <w:tcW w:type="dxa" w:w="1872"/>
            <w:shd w:val="clear" w:color="auto" w:fill="F0F4FF"/>
            <w:tcW w:w="2000" w:type="dxa"/>
            <w:vAlign w:val="center"/>
          </w:tcPr>
          <w:p>
            <w:pPr>
              <w:jc w:val="left"/>
            </w:pPr>
            <w:r>
              <w:rPr>
                <w:rFonts w:ascii="Arial" w:hAnsi="Arial"/>
                <w:sz w:val="18"/>
              </w:rPr>
              <w:t>Ankur Capital</w:t>
            </w:r>
          </w:p>
        </w:tc>
        <w:tc>
          <w:tcPr>
            <w:tcW w:type="dxa" w:w="1872"/>
            <w:shd w:val="clear" w:color="auto" w:fill="F0F4FF"/>
            <w:tcW w:w="1600" w:type="dxa"/>
            <w:vAlign w:val="center"/>
          </w:tcPr>
          <w:p>
            <w:pPr>
              <w:jc w:val="left"/>
            </w:pPr>
            <w:r>
              <w:rPr>
                <w:rFonts w:ascii="Arial" w:hAnsi="Arial"/>
                <w:sz w:val="18"/>
              </w:rPr>
              <w:t>Seed → Series A</w:t>
            </w:r>
          </w:p>
        </w:tc>
        <w:tc>
          <w:tcPr>
            <w:tcW w:type="dxa" w:w="1872"/>
            <w:shd w:val="clear" w:color="auto" w:fill="F0F4FF"/>
            <w:tcW w:w="1600" w:type="dxa"/>
            <w:vAlign w:val="center"/>
          </w:tcPr>
          <w:p>
            <w:pPr>
              <w:jc w:val="left"/>
            </w:pPr>
            <w:r>
              <w:rPr>
                <w:rFonts w:ascii="Arial" w:hAnsi="Arial"/>
                <w:sz w:val="18"/>
              </w:rPr>
              <w:t>$500K – $4M</w:t>
            </w:r>
          </w:p>
        </w:tc>
        <w:tc>
          <w:tcPr>
            <w:tcW w:type="dxa" w:w="1872"/>
            <w:shd w:val="clear" w:color="auto" w:fill="F0F4FF"/>
            <w:tcW w:w="3360" w:type="dxa"/>
            <w:vAlign w:val="center"/>
          </w:tcPr>
          <w:p>
            <w:pPr>
              <w:jc w:val="left"/>
            </w:pPr>
            <w:r>
              <w:rPr>
                <w:rFonts w:ascii="Arial" w:hAnsi="Arial"/>
                <w:sz w:val="18"/>
              </w:rPr>
              <w:t>Agritech, Climate, Deep Science</w:t>
            </w:r>
          </w:p>
        </w:tc>
      </w:tr>
      <w:tr>
        <w:tc>
          <w:tcPr>
            <w:tcW w:type="dxa" w:w="1872"/>
            <w:shd w:val="clear" w:color="auto" w:fill="FFFFFF"/>
            <w:tcW w:w="400" w:type="dxa"/>
            <w:vAlign w:val="center"/>
          </w:tcPr>
          <w:p>
            <w:pPr>
              <w:jc w:val="center"/>
            </w:pPr>
            <w:r>
              <w:rPr>
                <w:rFonts w:ascii="Arial" w:hAnsi="Arial"/>
                <w:b/>
                <w:color w:val="646478"/>
                <w:sz w:val="18"/>
              </w:rPr>
              <w:t>18</w:t>
            </w:r>
          </w:p>
        </w:tc>
        <w:tc>
          <w:tcPr>
            <w:tcW w:type="dxa" w:w="1872"/>
            <w:shd w:val="clear" w:color="auto" w:fill="FFFFFF"/>
            <w:tcW w:w="2000" w:type="dxa"/>
            <w:vAlign w:val="center"/>
          </w:tcPr>
          <w:p>
            <w:pPr>
              <w:jc w:val="left"/>
            </w:pPr>
            <w:r>
              <w:rPr>
                <w:rFonts w:ascii="Arial" w:hAnsi="Arial"/>
                <w:sz w:val="18"/>
              </w:rPr>
              <w:t>pi Ventures</w:t>
            </w:r>
          </w:p>
        </w:tc>
        <w:tc>
          <w:tcPr>
            <w:tcW w:type="dxa" w:w="1872"/>
            <w:shd w:val="clear" w:color="auto" w:fill="FFFFFF"/>
            <w:tcW w:w="1600" w:type="dxa"/>
            <w:vAlign w:val="center"/>
          </w:tcPr>
          <w:p>
            <w:pPr>
              <w:jc w:val="left"/>
            </w:pPr>
            <w:r>
              <w:rPr>
                <w:rFonts w:ascii="Arial" w:hAnsi="Arial"/>
                <w:sz w:val="18"/>
              </w:rPr>
              <w:t>Seed → Series A</w:t>
            </w:r>
          </w:p>
        </w:tc>
        <w:tc>
          <w:tcPr>
            <w:tcW w:type="dxa" w:w="1872"/>
            <w:shd w:val="clear" w:color="auto" w:fill="FFFFFF"/>
            <w:tcW w:w="1600" w:type="dxa"/>
            <w:vAlign w:val="center"/>
          </w:tcPr>
          <w:p>
            <w:pPr>
              <w:jc w:val="left"/>
            </w:pPr>
            <w:r>
              <w:rPr>
                <w:rFonts w:ascii="Arial" w:hAnsi="Arial"/>
                <w:sz w:val="18"/>
              </w:rPr>
              <w:t>$500K – $5M</w:t>
            </w:r>
          </w:p>
        </w:tc>
        <w:tc>
          <w:tcPr>
            <w:tcW w:type="dxa" w:w="1872"/>
            <w:shd w:val="clear" w:color="auto" w:fill="FFFFFF"/>
            <w:tcW w:w="3360" w:type="dxa"/>
            <w:vAlign w:val="center"/>
          </w:tcPr>
          <w:p>
            <w:pPr>
              <w:jc w:val="left"/>
            </w:pPr>
            <w:r>
              <w:rPr>
                <w:rFonts w:ascii="Arial" w:hAnsi="Arial"/>
                <w:sz w:val="18"/>
              </w:rPr>
              <w:t>AI/ML, DeepTech</w:t>
            </w:r>
          </w:p>
        </w:tc>
      </w:tr>
      <w:tr>
        <w:tc>
          <w:tcPr>
            <w:tcW w:type="dxa" w:w="1872"/>
            <w:shd w:val="clear" w:color="auto" w:fill="F0F4FF"/>
            <w:tcW w:w="400" w:type="dxa"/>
            <w:vAlign w:val="center"/>
          </w:tcPr>
          <w:p>
            <w:pPr>
              <w:jc w:val="center"/>
            </w:pPr>
            <w:r>
              <w:rPr>
                <w:rFonts w:ascii="Arial" w:hAnsi="Arial"/>
                <w:b/>
                <w:color w:val="646478"/>
                <w:sz w:val="18"/>
              </w:rPr>
              <w:t>19</w:t>
            </w:r>
          </w:p>
        </w:tc>
        <w:tc>
          <w:tcPr>
            <w:tcW w:type="dxa" w:w="1872"/>
            <w:shd w:val="clear" w:color="auto" w:fill="F0F4FF"/>
            <w:tcW w:w="2000" w:type="dxa"/>
            <w:vAlign w:val="center"/>
          </w:tcPr>
          <w:p>
            <w:pPr>
              <w:jc w:val="left"/>
            </w:pPr>
            <w:r>
              <w:rPr>
                <w:rFonts w:ascii="Arial" w:hAnsi="Arial"/>
                <w:sz w:val="18"/>
              </w:rPr>
              <w:t>Titan Capital</w:t>
            </w:r>
          </w:p>
        </w:tc>
        <w:tc>
          <w:tcPr>
            <w:tcW w:type="dxa" w:w="1872"/>
            <w:shd w:val="clear" w:color="auto" w:fill="F0F4FF"/>
            <w:tcW w:w="1600" w:type="dxa"/>
            <w:vAlign w:val="center"/>
          </w:tcPr>
          <w:p>
            <w:pPr>
              <w:jc w:val="left"/>
            </w:pPr>
            <w:r>
              <w:rPr>
                <w:rFonts w:ascii="Arial" w:hAnsi="Arial"/>
                <w:sz w:val="18"/>
              </w:rPr>
              <w:t>Pre-seed → Seed</w:t>
            </w:r>
          </w:p>
        </w:tc>
        <w:tc>
          <w:tcPr>
            <w:tcW w:type="dxa" w:w="1872"/>
            <w:shd w:val="clear" w:color="auto" w:fill="F0F4FF"/>
            <w:tcW w:w="1600" w:type="dxa"/>
            <w:vAlign w:val="center"/>
          </w:tcPr>
          <w:p>
            <w:pPr>
              <w:jc w:val="left"/>
            </w:pPr>
            <w:r>
              <w:rPr>
                <w:rFonts w:ascii="Arial" w:hAnsi="Arial"/>
                <w:sz w:val="18"/>
              </w:rPr>
              <w:t>$100K – $1.5M</w:t>
            </w:r>
          </w:p>
        </w:tc>
        <w:tc>
          <w:tcPr>
            <w:tcW w:type="dxa" w:w="1872"/>
            <w:shd w:val="clear" w:color="auto" w:fill="F0F4FF"/>
            <w:tcW w:w="3360" w:type="dxa"/>
            <w:vAlign w:val="center"/>
          </w:tcPr>
          <w:p>
            <w:pPr>
              <w:jc w:val="left"/>
            </w:pPr>
            <w:r>
              <w:rPr>
                <w:rFonts w:ascii="Arial" w:hAnsi="Arial"/>
                <w:sz w:val="18"/>
              </w:rPr>
              <w:t>Sector agnostic, Founder-first</w:t>
            </w:r>
          </w:p>
        </w:tc>
      </w:tr>
      <w:tr>
        <w:tc>
          <w:tcPr>
            <w:tcW w:type="dxa" w:w="1872"/>
            <w:shd w:val="clear" w:color="auto" w:fill="FFFFFF"/>
            <w:tcW w:w="400" w:type="dxa"/>
            <w:vAlign w:val="center"/>
          </w:tcPr>
          <w:p>
            <w:pPr>
              <w:jc w:val="center"/>
            </w:pPr>
            <w:r>
              <w:rPr>
                <w:rFonts w:ascii="Arial" w:hAnsi="Arial"/>
                <w:b/>
                <w:color w:val="646478"/>
                <w:sz w:val="18"/>
              </w:rPr>
              <w:t>20</w:t>
            </w:r>
          </w:p>
        </w:tc>
        <w:tc>
          <w:tcPr>
            <w:tcW w:type="dxa" w:w="1872"/>
            <w:shd w:val="clear" w:color="auto" w:fill="FFFFFF"/>
            <w:tcW w:w="2000" w:type="dxa"/>
            <w:vAlign w:val="center"/>
          </w:tcPr>
          <w:p>
            <w:pPr>
              <w:jc w:val="left"/>
            </w:pPr>
            <w:r>
              <w:rPr>
                <w:rFonts w:ascii="Arial" w:hAnsi="Arial"/>
                <w:sz w:val="18"/>
              </w:rPr>
              <w:t>Venture Catalysts</w:t>
            </w:r>
          </w:p>
        </w:tc>
        <w:tc>
          <w:tcPr>
            <w:tcW w:type="dxa" w:w="1872"/>
            <w:shd w:val="clear" w:color="auto" w:fill="FFFFFF"/>
            <w:tcW w:w="1600" w:type="dxa"/>
            <w:vAlign w:val="center"/>
          </w:tcPr>
          <w:p>
            <w:pPr>
              <w:jc w:val="left"/>
            </w:pPr>
            <w:r>
              <w:rPr>
                <w:rFonts w:ascii="Arial" w:hAnsi="Arial"/>
                <w:sz w:val="18"/>
              </w:rPr>
              <w:t>Pre-seed → Seed</w:t>
            </w:r>
          </w:p>
        </w:tc>
        <w:tc>
          <w:tcPr>
            <w:tcW w:type="dxa" w:w="1872"/>
            <w:shd w:val="clear" w:color="auto" w:fill="FFFFFF"/>
            <w:tcW w:w="1600" w:type="dxa"/>
            <w:vAlign w:val="center"/>
          </w:tcPr>
          <w:p>
            <w:pPr>
              <w:jc w:val="left"/>
            </w:pPr>
            <w:r>
              <w:rPr>
                <w:rFonts w:ascii="Arial" w:hAnsi="Arial"/>
                <w:sz w:val="18"/>
              </w:rPr>
              <w:t>$100K – $2M</w:t>
            </w:r>
          </w:p>
        </w:tc>
        <w:tc>
          <w:tcPr>
            <w:tcW w:type="dxa" w:w="1872"/>
            <w:shd w:val="clear" w:color="auto" w:fill="FFFFFF"/>
            <w:tcW w:w="3360" w:type="dxa"/>
            <w:vAlign w:val="center"/>
          </w:tcPr>
          <w:p>
            <w:pPr>
              <w:jc w:val="left"/>
            </w:pPr>
            <w:r>
              <w:rPr>
                <w:rFonts w:ascii="Arial" w:hAnsi="Arial"/>
                <w:sz w:val="18"/>
              </w:rPr>
              <w:t>Tier 2/3 India, Consumer, Health</w:t>
            </w:r>
          </w:p>
        </w:tc>
      </w:tr>
    </w:tbl>
    <w:p>
      <w:pPr>
        <w:spacing w:after="320"/>
      </w:pPr>
    </w:p>
    <w:p>
      <w:pPr>
        <w:pStyle w:val="Heading2"/>
        <w:spacing w:before="360" w:after="160"/>
      </w:pPr>
      <w:r>
        <w:rPr>
          <w:rFonts w:ascii="Arial" w:hAnsi="Arial"/>
          <w:b/>
          <w:color w:val="1E1E1E"/>
          <w:sz w:val="34"/>
        </w:rPr>
        <w:t>The 20 best VC firms in India for early-stage startups</w:t>
      </w:r>
    </w:p>
    <w:p>
      <w:pPr>
        <w:pStyle w:val="Heading3"/>
        <w:spacing w:before="240" w:after="160"/>
      </w:pPr>
      <w:r>
        <w:rPr>
          <w:rFonts w:ascii="Arial" w:hAnsi="Arial"/>
          <w:b/>
          <w:color w:val="142864"/>
          <w:sz w:val="26"/>
        </w:rPr>
        <w:t>1. Peak XV Partners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Seed to Growth</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$500K – $16M+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AI, SaaS, Fintech, Consumer, HealthTech</w:t>
            </w:r>
          </w:p>
        </w:tc>
      </w:tr>
    </w:tbl>
    <w:p>
      <w:pPr>
        <w:spacing w:after="80"/>
      </w:pPr>
    </w:p>
    <w:p>
      <w:pPr>
        <w:spacing w:after="80" w:before="0"/>
        <w:jc w:val="left"/>
      </w:pPr>
      <w:r>
        <w:rPr>
          <w:rFonts w:ascii="Arial" w:hAnsi="Arial"/>
          <w:b w:val="0"/>
          <w:i/>
          <w:color w:val="646478"/>
          <w:sz w:val="20"/>
        </w:rPr>
        <w:t>Fund size: $9B+ AUM across India and Southeast Asia</w:t>
      </w:r>
    </w:p>
    <w:p>
      <w:pPr>
        <w:spacing w:after="120" w:before="0"/>
        <w:jc w:val="left"/>
      </w:pPr>
      <w:r>
        <w:rPr>
          <w:rFonts w:ascii="Arial" w:hAnsi="Arial"/>
          <w:b/>
          <w:i w:val="0"/>
          <w:color w:val="283C78"/>
          <w:sz w:val="20"/>
        </w:rPr>
        <w:t>Notable portfolio: Zomato, Razorpay, CRED, Meesho, Groww</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Back daring founders building legendary companies — from idea to IPO and beyond. In 2026, they are doubling down on AI, cross-border SaaS, and fintech infrastructure.</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Peak XV runs a Surge accelerator programme for early-stage founders — apply there if you are at idea or prototype stage. For Series A+, a warm introduction through their portfolio network is the most effective path.</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Founders targeting rapid scale with a global product ambition.</w:t>
            </w:r>
          </w:p>
        </w:tc>
      </w:tr>
    </w:tbl>
    <w:p>
      <w:pPr>
        <w:spacing w:after="120"/>
      </w:pPr>
    </w:p>
    <w:p>
      <w:pPr>
        <w:pStyle w:val="Heading3"/>
        <w:spacing w:before="240" w:after="160"/>
      </w:pPr>
      <w:r>
        <w:rPr>
          <w:rFonts w:ascii="Arial" w:hAnsi="Arial"/>
          <w:b/>
          <w:color w:val="142864"/>
          <w:sz w:val="26"/>
        </w:rPr>
        <w:t>2. Accel India</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Seed to Series C</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$500K – $15M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SaaS, Consumer, B2B, Fintech</w:t>
            </w:r>
          </w:p>
        </w:tc>
      </w:tr>
    </w:tbl>
    <w:p>
      <w:pPr>
        <w:spacing w:after="80"/>
      </w:pPr>
    </w:p>
    <w:p>
      <w:pPr>
        <w:spacing w:after="80" w:before="0"/>
        <w:jc w:val="left"/>
      </w:pPr>
      <w:r>
        <w:rPr>
          <w:rFonts w:ascii="Arial" w:hAnsi="Arial"/>
          <w:b w:val="0"/>
          <w:i/>
          <w:color w:val="646478"/>
          <w:sz w:val="20"/>
        </w:rPr>
        <w:t>Fund size: $650M Fund VIII (2024)</w:t>
      </w:r>
    </w:p>
    <w:p>
      <w:pPr>
        <w:spacing w:after="120" w:before="0"/>
        <w:jc w:val="left"/>
      </w:pPr>
      <w:r>
        <w:rPr>
          <w:rFonts w:ascii="Arial" w:hAnsi="Arial"/>
          <w:b/>
          <w:i w:val="0"/>
          <w:color w:val="283C78"/>
          <w:sz w:val="20"/>
        </w:rPr>
        <w:t>Notable portfolio: Flipkart, Freshworks, BrowserStack, Swiggy, Zetwerk</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Accel backs founders early and stays for the long haul. Their Fund VIII was deliberately held at $650M — a sign they prefer disciplined, concentrated bets over spray-and-pray.</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Accel India's website has a pitch submission form. They are particularly active in SaaS and B2B — if your startup falls in those categories, a direct outreach with a clear metrics story is effective.</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SaaS and B2B founders with early revenue or strong product traction.</w:t>
            </w:r>
          </w:p>
        </w:tc>
      </w:tr>
    </w:tbl>
    <w:p>
      <w:pPr>
        <w:spacing w:after="120"/>
      </w:pPr>
    </w:p>
    <w:p>
      <w:pPr>
        <w:pStyle w:val="Heading3"/>
        <w:spacing w:before="240" w:after="160"/>
      </w:pPr>
      <w:r>
        <w:rPr>
          <w:rFonts w:ascii="Arial" w:hAnsi="Arial"/>
          <w:b/>
          <w:color w:val="142864"/>
          <w:sz w:val="26"/>
        </w:rPr>
        <w:t>3. Blume Ventures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Bengaluru &amp; Mumbai</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Pre-seed to Series A</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$500K – $3M (initial)</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DeepTech, B2B SaaS, Consumer Tech, Fintech</w:t>
            </w:r>
          </w:p>
        </w:tc>
      </w:tr>
    </w:tbl>
    <w:p>
      <w:pPr>
        <w:spacing w:after="80"/>
      </w:pPr>
    </w:p>
    <w:p>
      <w:pPr>
        <w:spacing w:after="80" w:before="0"/>
        <w:jc w:val="left"/>
      </w:pPr>
      <w:r>
        <w:rPr>
          <w:rFonts w:ascii="Arial" w:hAnsi="Arial"/>
          <w:b w:val="0"/>
          <w:i/>
          <w:color w:val="646478"/>
          <w:sz w:val="20"/>
        </w:rPr>
        <w:t>Fund size: $175M initial close of Fund V (Oct 2025), targeting $250–275M</w:t>
      </w:r>
    </w:p>
    <w:p>
      <w:pPr>
        <w:spacing w:after="120" w:before="0"/>
        <w:jc w:val="left"/>
      </w:pPr>
      <w:r>
        <w:rPr>
          <w:rFonts w:ascii="Arial" w:hAnsi="Arial"/>
          <w:b/>
          <w:i w:val="0"/>
          <w:color w:val="283C78"/>
          <w:sz w:val="20"/>
        </w:rPr>
        <w:t>Notable portfolio: Unacademy, Slice, HealthifyMe, Dunzo, Purplle</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Blume backs 'revolutionary founders' who are willing to take unconventional bets. They pioneered the micro-VC model in India and act more as a co-founder than a passive investor — with deep involvement in hiring, go-to-market, and product direction.</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Blume is approachable. Their partners are active on Twitter/X and LinkedIn. They respond to warm intros and well-researched cold outreach. Lead with the problem, not the solution.</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First-time founders with strong conviction and an unconventional thesis.</w:t>
            </w:r>
          </w:p>
        </w:tc>
      </w:tr>
    </w:tbl>
    <w:p>
      <w:pPr>
        <w:spacing w:after="120"/>
      </w:pPr>
    </w:p>
    <w:p>
      <w:pPr>
        <w:pStyle w:val="Heading3"/>
        <w:spacing w:before="240" w:after="160"/>
      </w:pPr>
      <w:r>
        <w:rPr>
          <w:rFonts w:ascii="Arial" w:hAnsi="Arial"/>
          <w:b/>
          <w:color w:val="142864"/>
          <w:sz w:val="26"/>
        </w:rPr>
        <w:t>4. Elevation Capital</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Gurugram</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Seed to Series B</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$1M – $20M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Fintech, Consumer Internet, SaaS, AI</w:t>
            </w:r>
          </w:p>
        </w:tc>
      </w:tr>
    </w:tbl>
    <w:p>
      <w:pPr>
        <w:spacing w:after="80"/>
      </w:pPr>
    </w:p>
    <w:p>
      <w:pPr>
        <w:spacing w:after="80" w:before="0"/>
        <w:jc w:val="left"/>
      </w:pPr>
      <w:r>
        <w:rPr>
          <w:rFonts w:ascii="Arial" w:hAnsi="Arial"/>
          <w:b w:val="0"/>
          <w:i/>
          <w:color w:val="646478"/>
          <w:sz w:val="20"/>
        </w:rPr>
        <w:t>Fund size: Over $2B deployed since 2002 (formerly SAIF Partners)</w:t>
      </w:r>
    </w:p>
    <w:p>
      <w:pPr>
        <w:spacing w:after="120" w:before="0"/>
        <w:jc w:val="left"/>
      </w:pPr>
      <w:r>
        <w:rPr>
          <w:rFonts w:ascii="Arial" w:hAnsi="Arial"/>
          <w:b/>
          <w:i w:val="0"/>
          <w:color w:val="283C78"/>
          <w:sz w:val="20"/>
        </w:rPr>
        <w:t>Notable portfolio: Paytm, Swiggy, Meesho, Urban Company, ShareChat</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Elevation looks for category-defining companies in fintech, consumer, and SaaS. Their AI partner Krishna Mehra is actively courting global-first AI founders building from India but targeting international markets.</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Come prepared with sharp unit economics — CAC payback, contribution margins, and burn multiples. Elevation engages with founders who think rigorously about business model durability.</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Founders building in fintech infrastructure, consumer internet, or B2B SaaS with defensible economics.</w:t>
            </w:r>
          </w:p>
        </w:tc>
      </w:tr>
    </w:tbl>
    <w:p>
      <w:pPr>
        <w:spacing w:after="120"/>
      </w:pPr>
    </w:p>
    <w:p>
      <w:pPr>
        <w:pStyle w:val="Heading3"/>
        <w:spacing w:before="240" w:after="160"/>
      </w:pPr>
      <w:r>
        <w:rPr>
          <w:rFonts w:ascii="Arial" w:hAnsi="Arial"/>
          <w:b/>
          <w:color w:val="142864"/>
          <w:sz w:val="26"/>
        </w:rPr>
        <w:t>5. Lightspeed India</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Seed to Series B</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$1M – $15M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Enterprise SaaS, B2B Commerce, Fintech, Consumer</w:t>
            </w:r>
          </w:p>
        </w:tc>
      </w:tr>
    </w:tbl>
    <w:p>
      <w:pPr>
        <w:spacing w:after="80"/>
      </w:pPr>
    </w:p>
    <w:p>
      <w:pPr>
        <w:spacing w:after="80" w:before="0"/>
        <w:jc w:val="left"/>
      </w:pPr>
      <w:r>
        <w:rPr>
          <w:rFonts w:ascii="Arial" w:hAnsi="Arial"/>
          <w:b w:val="0"/>
          <w:i/>
          <w:color w:val="646478"/>
          <w:sz w:val="20"/>
        </w:rPr>
        <w:t>Fund size: $500M Fund IV</w:t>
      </w:r>
    </w:p>
    <w:p>
      <w:pPr>
        <w:spacing w:after="120" w:before="0"/>
        <w:jc w:val="left"/>
      </w:pPr>
      <w:r>
        <w:rPr>
          <w:rFonts w:ascii="Arial" w:hAnsi="Arial"/>
          <w:b/>
          <w:i w:val="0"/>
          <w:color w:val="283C78"/>
          <w:sz w:val="20"/>
        </w:rPr>
        <w:t>Notable portfolio: Udaan, ShareChat, OYO (early), Vedantu, Innovaccer</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Lightspeed India takes a thesis-driven approach — they build deep conviction in specific market segments before seeking deals, not the other way around. Their global network adds significant strategic value for startups eyeing US or SE Asia expansion.</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Lightspeed's India team (Dev Khare, Hemant Mohapatra, Harsha Kumar) is accessible on LinkedIn. Come with a clear market-size argument and show why now is the right time.</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B2B and enterprise SaaS founders with a clear path to global scale.</w:t>
            </w:r>
          </w:p>
        </w:tc>
      </w:tr>
    </w:tbl>
    <w:p>
      <w:pPr>
        <w:spacing w:after="120"/>
      </w:pPr>
    </w:p>
    <w:p>
      <w:pPr>
        <w:pStyle w:val="Heading3"/>
        <w:spacing w:before="240" w:after="160"/>
      </w:pPr>
      <w:r>
        <w:rPr>
          <w:rFonts w:ascii="Arial" w:hAnsi="Arial"/>
          <w:b/>
          <w:color w:val="142864"/>
          <w:sz w:val="26"/>
        </w:rPr>
        <w:t>6. 3one4 Capital</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Seed to Series A</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$500K – $5M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SaaS, Fintech, Consumer, D2C, DeepTech</w:t>
            </w:r>
          </w:p>
        </w:tc>
      </w:tr>
    </w:tbl>
    <w:p>
      <w:pPr>
        <w:spacing w:after="80"/>
      </w:pPr>
    </w:p>
    <w:p>
      <w:pPr>
        <w:spacing w:after="80" w:before="0"/>
        <w:jc w:val="left"/>
      </w:pPr>
      <w:r>
        <w:rPr>
          <w:rFonts w:ascii="Arial" w:hAnsi="Arial"/>
          <w:b w:val="0"/>
          <w:i/>
          <w:color w:val="646478"/>
          <w:sz w:val="20"/>
        </w:rPr>
        <w:t>Fund size: Manages over $500M across multiple fund vintages</w:t>
      </w:r>
    </w:p>
    <w:p>
      <w:pPr>
        <w:spacing w:after="120" w:before="0"/>
        <w:jc w:val="left"/>
      </w:pPr>
      <w:r>
        <w:rPr>
          <w:rFonts w:ascii="Arial" w:hAnsi="Arial"/>
          <w:b/>
          <w:i w:val="0"/>
          <w:color w:val="283C78"/>
          <w:sz w:val="20"/>
        </w:rPr>
        <w:t>Notable portfolio: Licious, Darwinbox, Koo, Open Financial Technologies, NoBroker</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3one4 describes itself as a 'generational innovation engine.' They are data-driven, ESG-focused, and deeply involved post-investment — providing in-house finance, research, and growth support. They were the first Indian VC to prioritise ESG formally.</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3one4 scrutinises pricing experiments, NRR signals, and compliance posture. Show them you iterate on monetisation as rigorously as you iterate on product. Quantified results matter more than a polished deck.</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Founders who obsess over unit economics and want a data-driven investor partner.</w:t>
            </w:r>
          </w:p>
        </w:tc>
      </w:tr>
    </w:tbl>
    <w:p>
      <w:pPr>
        <w:spacing w:after="120"/>
      </w:pPr>
    </w:p>
    <w:p>
      <w:pPr>
        <w:pStyle w:val="Heading3"/>
        <w:spacing w:before="240" w:after="160"/>
      </w:pPr>
      <w:r>
        <w:rPr>
          <w:rFonts w:ascii="Arial" w:hAnsi="Arial"/>
          <w:b/>
          <w:color w:val="142864"/>
          <w:sz w:val="26"/>
        </w:rPr>
        <w:t>7. Nexus Venture Partners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Bengaluru &amp; Menlo Park</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Seed to Series B</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$1M – $15M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Global SaaS, Fintech, Consumer Internet</w:t>
            </w:r>
          </w:p>
        </w:tc>
      </w:tr>
    </w:tbl>
    <w:p>
      <w:pPr>
        <w:spacing w:after="80"/>
      </w:pPr>
    </w:p>
    <w:p>
      <w:pPr>
        <w:spacing w:after="80" w:before="0"/>
        <w:jc w:val="left"/>
      </w:pPr>
      <w:r>
        <w:rPr>
          <w:rFonts w:ascii="Arial" w:hAnsi="Arial"/>
          <w:b w:val="0"/>
          <w:i/>
          <w:color w:val="646478"/>
          <w:sz w:val="20"/>
        </w:rPr>
        <w:t>Fund size: $700M Fund VIII</w:t>
      </w:r>
    </w:p>
    <w:p>
      <w:pPr>
        <w:spacing w:after="120" w:before="0"/>
        <w:jc w:val="left"/>
      </w:pPr>
      <w:r>
        <w:rPr>
          <w:rFonts w:ascii="Arial" w:hAnsi="Arial"/>
          <w:b/>
          <w:i w:val="0"/>
          <w:color w:val="283C78"/>
          <w:sz w:val="20"/>
        </w:rPr>
        <w:t>Notable portfolio: Postman, Zepto, Unacademy, Druva, Delhivery</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Nexus backs Indian founders building software companies for global markets, with a particular strength in developer tools and enterprise SaaS. Their Menlo Park office gives them genuine US market access — useful for founders targeting enterprise US customers early.</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Nexus responds well to founders who have done their homework on the global market opportunity. A clear ICP and early enterprise pipeline will get attention.</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SaaS founders building for global markets from an Indian base.</w:t>
            </w:r>
          </w:p>
        </w:tc>
      </w:tr>
    </w:tbl>
    <w:p>
      <w:pPr>
        <w:spacing w:after="120"/>
      </w:pPr>
    </w:p>
    <w:p>
      <w:pPr>
        <w:pStyle w:val="Heading3"/>
        <w:spacing w:before="240" w:after="160"/>
      </w:pPr>
      <w:r>
        <w:rPr>
          <w:rFonts w:ascii="Arial" w:hAnsi="Arial"/>
          <w:b/>
          <w:color w:val="142864"/>
          <w:sz w:val="26"/>
        </w:rPr>
        <w:t>8. Stellaris Venture Partners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Seed to Series A</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$500K – $10M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Technology-focused, Sector agnostic</w:t>
            </w:r>
          </w:p>
        </w:tc>
      </w:tr>
    </w:tbl>
    <w:p>
      <w:pPr>
        <w:spacing w:after="80"/>
      </w:pPr>
    </w:p>
    <w:p>
      <w:pPr>
        <w:spacing w:after="80" w:before="0"/>
        <w:jc w:val="left"/>
      </w:pPr>
      <w:r>
        <w:rPr>
          <w:rFonts w:ascii="Arial" w:hAnsi="Arial"/>
          <w:b w:val="0"/>
          <w:i/>
          <w:color w:val="646478"/>
          <w:sz w:val="20"/>
        </w:rPr>
        <w:t>Fund size: $225M Fund II (2023)</w:t>
      </w:r>
    </w:p>
    <w:p>
      <w:pPr>
        <w:spacing w:after="120" w:before="0"/>
        <w:jc w:val="left"/>
      </w:pPr>
      <w:r>
        <w:rPr>
          <w:rFonts w:ascii="Arial" w:hAnsi="Arial"/>
          <w:b/>
          <w:i w:val="0"/>
          <w:color w:val="283C78"/>
          <w:sz w:val="20"/>
        </w:rPr>
        <w:t>Notable portfolio: Mamaearth, Whatfix, Recko, Zarget, Plaeto</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Stellaris backs 'fearless founders' building technology-led companies. They are sector-agnostic but insist on a technology moat at the core of the business model. Their second fund signals continued confidence in the early-stage landscape.</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Stellaris values long-term founder relationships. Reach out to them early, even before you are ready to raise — they invest in people as much as products.</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Tech-first founders who have a defensible technology edge, regardless of sector.</w:t>
            </w:r>
          </w:p>
        </w:tc>
      </w:tr>
    </w:tbl>
    <w:p>
      <w:pPr>
        <w:spacing w:after="120"/>
      </w:pPr>
    </w:p>
    <w:p>
      <w:pPr>
        <w:pStyle w:val="Heading3"/>
        <w:spacing w:before="240" w:after="160"/>
      </w:pPr>
      <w:r>
        <w:rPr>
          <w:rFonts w:ascii="Arial" w:hAnsi="Arial"/>
          <w:b/>
          <w:color w:val="142864"/>
          <w:sz w:val="26"/>
        </w:rPr>
        <w:t>9. Kalaari Capital</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Seed to Series A</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$500K – $8M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Consumer Internet, HealthTech, Gaming, EdTech</w:t>
            </w:r>
          </w:p>
        </w:tc>
      </w:tr>
    </w:tbl>
    <w:p>
      <w:pPr>
        <w:spacing w:after="80"/>
      </w:pPr>
    </w:p>
    <w:p>
      <w:pPr>
        <w:spacing w:after="80" w:before="0"/>
        <w:jc w:val="left"/>
      </w:pPr>
      <w:r>
        <w:rPr>
          <w:rFonts w:ascii="Arial" w:hAnsi="Arial"/>
          <w:b w:val="0"/>
          <w:i/>
          <w:color w:val="646478"/>
          <w:sz w:val="20"/>
        </w:rPr>
        <w:t>Fund size: Over $650M deployed since 2006</w:t>
      </w:r>
    </w:p>
    <w:p>
      <w:pPr>
        <w:spacing w:after="120" w:before="0"/>
        <w:jc w:val="left"/>
      </w:pPr>
      <w:r>
        <w:rPr>
          <w:rFonts w:ascii="Arial" w:hAnsi="Arial"/>
          <w:b/>
          <w:i w:val="0"/>
          <w:color w:val="283C78"/>
          <w:sz w:val="20"/>
        </w:rPr>
        <w:t>Notable portfolio: Myntra, Cure.fit, Dream11, Cashify, Milkbasket</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Kalaari, led by Vani Kola, focuses on founders who are passionate about creating transformative impact in Indian consumer markets. They have a strong track record in identifying consumer internet winners early, and are increasingly active in health-tech and gaming.</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Submit a pitch directly through their website or seek a warm intro via their extensive alumni network. Female founders should note that Kalaari actively backs women-led startups.</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Consumer internet, gaming, and health-tech founders targeting the Indian mass market.</w:t>
            </w:r>
          </w:p>
        </w:tc>
      </w:tr>
    </w:tbl>
    <w:p>
      <w:pPr>
        <w:spacing w:after="120"/>
      </w:pPr>
    </w:p>
    <w:p>
      <w:pPr>
        <w:pStyle w:val="Heading3"/>
        <w:spacing w:before="240" w:after="160"/>
      </w:pPr>
      <w:r>
        <w:rPr>
          <w:rFonts w:ascii="Arial" w:hAnsi="Arial"/>
          <w:b/>
          <w:color w:val="142864"/>
          <w:sz w:val="26"/>
        </w:rPr>
        <w:t>10. India Quotient</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Mumbai</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Seed to Pre-Series A</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$300K – $3M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Bharat-focused Consumer, SaaS, Agritech, Fintech</w:t>
            </w:r>
          </w:p>
        </w:tc>
      </w:tr>
    </w:tbl>
    <w:p>
      <w:pPr>
        <w:spacing w:after="80"/>
      </w:pPr>
    </w:p>
    <w:p>
      <w:pPr>
        <w:spacing w:after="80" w:before="0"/>
        <w:jc w:val="left"/>
      </w:pPr>
      <w:r>
        <w:rPr>
          <w:rFonts w:ascii="Arial" w:hAnsi="Arial"/>
          <w:b w:val="0"/>
          <w:i/>
          <w:color w:val="646478"/>
          <w:sz w:val="20"/>
        </w:rPr>
        <w:t>Fund size: $129M Fund V (raised Oct 2025, their largest ever)</w:t>
      </w:r>
    </w:p>
    <w:p>
      <w:pPr>
        <w:spacing w:after="120" w:before="0"/>
        <w:jc w:val="left"/>
      </w:pPr>
      <w:r>
        <w:rPr>
          <w:rFonts w:ascii="Arial" w:hAnsi="Arial"/>
          <w:b/>
          <w:i w:val="0"/>
          <w:color w:val="283C78"/>
          <w:sz w:val="20"/>
        </w:rPr>
        <w:t>Notable portfolio: ShareChat, Sugar Cosmetics, Lendingkart, Fraazo</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India Quotient loves 'unsexy and contrarian' bets. They focus heavily on Bharat — solutions for the Indian mass market beyond metro cities. They prefer product demos over pitch decks, and value hustle and frugality over pedigree.</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IQ is one of the few Indian VCs where showing a working product demo before a formal pitch actually moves the needle. Their typical decision timeline is 1 to 4 weeks.</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Founders building for the next 500 million Indian internet users — vernacular, Tier 2/3, rural segments.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E8F4FB"/>
            <w:tcBorders>
              <w:top w:val="single" w:sz="6" w:space="0" w:color="185FA5"/>
              <w:left w:val="single" w:sz="6" w:space="0" w:color="185FA5"/>
              <w:bottom w:val="single" w:sz="6" w:space="0" w:color="185FA5"/>
              <w:right w:val="single" w:sz="6" w:space="0" w:color="185FA5"/>
            </w:tcBorders>
          </w:tcPr>
          <w:p>
            <w:pPr>
              <w:spacing w:before="200"/>
              <w:jc w:val="center"/>
            </w:pPr>
            <w:r>
              <w:rPr>
                <w:rFonts w:ascii="Arial" w:hAnsi="Arial"/>
                <w:b/>
                <w:color w:val="185FA5"/>
                <w:sz w:val="22"/>
              </w:rPr>
              <w:t>📷  IMAGE 3 — INFOGRAPHIC: Seed vs Series A cheque sizes in India</w:t>
            </w:r>
          </w:p>
          <w:p>
            <w:pPr>
              <w:jc w:val="center"/>
            </w:pPr>
            <w:r>
              <w:rPr>
                <w:rFonts w:ascii="Arial" w:hAnsi="Arial"/>
                <w:color w:val="3C3C50"/>
                <w:sz w:val="20"/>
              </w:rPr>
              <w:t>Bar chart showing average cheque sizes at Pre-seed, Seed, Series A stages.</w:t>
              <w:br/>
              <w:t>Data: Pre-seed ₹50L–₹1.5Cr | Seed $500K–$5M | Series A $5M–$20M.</w:t>
              <w:br/>
              <w:t>Dimensions: 900 × 500 px. Branded with VC Dekho logo.</w:t>
            </w:r>
          </w:p>
          <w:p>
            <w:pPr>
              <w:spacing w:after="200"/>
              <w:jc w:val="center"/>
            </w:pPr>
            <w:r>
              <w:rPr>
                <w:rFonts w:ascii="Arial" w:hAnsi="Arial"/>
                <w:i/>
                <w:color w:val="78788C"/>
                <w:sz w:val="18"/>
              </w:rPr>
              <w:t>Alt text: "Average VC cheque sizes at pre-seed, seed, and Series A stages in India 2026"</w:t>
            </w:r>
          </w:p>
        </w:tc>
      </w:tr>
    </w:tbl>
    <w:p>
      <w:pPr>
        <w:spacing w:after="120"/>
      </w:pPr>
    </w:p>
    <w:p>
      <w:pPr>
        <w:pStyle w:val="Heading3"/>
        <w:spacing w:before="240" w:after="160"/>
      </w:pPr>
      <w:r>
        <w:rPr>
          <w:rFonts w:ascii="Arial" w:hAnsi="Arial"/>
          <w:b/>
          <w:color w:val="142864"/>
          <w:sz w:val="26"/>
        </w:rPr>
        <w:t>11. Better Capital</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$100K – $2M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Sector agnostic — backs early traction</w:t>
            </w:r>
          </w:p>
        </w:tc>
      </w:tr>
    </w:tbl>
    <w:p>
      <w:pPr>
        <w:spacing w:after="80"/>
      </w:pPr>
    </w:p>
    <w:p>
      <w:pPr>
        <w:spacing w:after="80" w:before="0"/>
        <w:jc w:val="left"/>
      </w:pPr>
      <w:r>
        <w:rPr>
          <w:rFonts w:ascii="Arial" w:hAnsi="Arial"/>
          <w:b w:val="0"/>
          <w:i/>
          <w:color w:val="646478"/>
          <w:sz w:val="20"/>
        </w:rPr>
        <w:t>Fund size: $160M across funds (157 portfolio companies, 8 new investments in last 12 months)</w:t>
      </w:r>
    </w:p>
    <w:p>
      <w:pPr>
        <w:spacing w:after="120" w:before="0"/>
        <w:jc w:val="left"/>
      </w:pPr>
      <w:r>
        <w:rPr>
          <w:rFonts w:ascii="Arial" w:hAnsi="Arial"/>
          <w:b/>
          <w:i w:val="0"/>
          <w:color w:val="283C78"/>
          <w:sz w:val="20"/>
        </w:rPr>
        <w:t>Notable portfolio: Classplus, Nobroker (early), Teachmint, Jar, Virtually</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Better Capital represents the new wave of 'shadow' investors — highly active, founder-friendly, and deeply involved at the earliest stages. They prioritise first-principle founders and often write the very first institutional cheque.</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Better Capital's Vaibhav Domkundwar is extremely accessible on Twitter/X. A well-articulated cold DM that shows genuine insight into the problem you are solving can work here.</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First-time founders who have early traction but need their first institutional stamp of approval.</w:t>
            </w:r>
          </w:p>
        </w:tc>
      </w:tr>
    </w:tbl>
    <w:p>
      <w:pPr>
        <w:spacing w:after="120"/>
      </w:pPr>
    </w:p>
    <w:p>
      <w:pPr>
        <w:pStyle w:val="Heading3"/>
        <w:spacing w:before="240" w:after="160"/>
      </w:pPr>
      <w:r>
        <w:rPr>
          <w:rFonts w:ascii="Arial" w:hAnsi="Arial"/>
          <w:b/>
          <w:color w:val="142864"/>
          <w:sz w:val="26"/>
        </w:rPr>
        <w:t>12. 100X.VC</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Mumbai</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Pre-seed (first institutional cheque)</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₹50 lakh – ₹1.5 crore via iSAFE</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Sector agnostic — cohort-based investing</w:t>
            </w:r>
          </w:p>
        </w:tc>
      </w:tr>
    </w:tbl>
    <w:p>
      <w:pPr>
        <w:spacing w:after="80"/>
      </w:pPr>
    </w:p>
    <w:p>
      <w:pPr>
        <w:spacing w:after="80" w:before="0"/>
        <w:jc w:val="left"/>
      </w:pPr>
      <w:r>
        <w:rPr>
          <w:rFonts w:ascii="Arial" w:hAnsi="Arial"/>
          <w:b w:val="0"/>
          <w:i/>
          <w:color w:val="646478"/>
          <w:sz w:val="20"/>
        </w:rPr>
        <w:t>Fund size: 10+ cohorts, 150+ startups funded</w:t>
      </w:r>
    </w:p>
    <w:p>
      <w:pPr>
        <w:spacing w:after="120" w:before="0"/>
        <w:jc w:val="left"/>
      </w:pPr>
      <w:r>
        <w:rPr>
          <w:rFonts w:ascii="Arial" w:hAnsi="Arial"/>
          <w:b/>
          <w:i w:val="0"/>
          <w:color w:val="283C78"/>
          <w:sz w:val="20"/>
        </w:rPr>
        <w:t>Notable portfolio: SolarSquare, Grip Invest, Jar (early), Contractzy</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100X.VC acts as a discovery fund. They use simplified iSAFE notes (Indian SAFE instruments) to make investing frictionless, and invest in cohorts of 20–25 startups at a time. They are often the very first institutional name on a cap table.</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Apply to their open cohort applications on their website — the process is structured and transparent. They decide fast.</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Early pre-revenue founders who need their first institutional cheque and the credibility that comes with it.</w:t>
            </w:r>
          </w:p>
        </w:tc>
      </w:tr>
    </w:tbl>
    <w:p>
      <w:pPr>
        <w:spacing w:after="120"/>
      </w:pPr>
    </w:p>
    <w:p>
      <w:pPr>
        <w:pStyle w:val="Heading3"/>
        <w:spacing w:before="240" w:after="160"/>
      </w:pPr>
      <w:r>
        <w:rPr>
          <w:rFonts w:ascii="Arial" w:hAnsi="Arial"/>
          <w:b/>
          <w:color w:val="142864"/>
          <w:sz w:val="26"/>
        </w:rPr>
        <w:t>13. Kae Capital</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Mumbai</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Seed to Series A</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$500K – $5M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Tech-first, Sector agnostic (portfolio spans SaaS, Fintech, Consumer)</w:t>
            </w:r>
          </w:p>
        </w:tc>
      </w:tr>
    </w:tbl>
    <w:p>
      <w:pPr>
        <w:spacing w:after="80"/>
      </w:pPr>
    </w:p>
    <w:p>
      <w:pPr>
        <w:spacing w:after="80" w:before="0"/>
        <w:jc w:val="left"/>
      </w:pPr>
      <w:r>
        <w:rPr>
          <w:rFonts w:ascii="Arial" w:hAnsi="Arial"/>
          <w:b w:val="0"/>
          <w:i/>
          <w:color w:val="646478"/>
          <w:sz w:val="20"/>
        </w:rPr>
        <w:t>Fund size: Investing since 2012, with 60+ portfolio companies</w:t>
      </w:r>
    </w:p>
    <w:p>
      <w:pPr>
        <w:spacing w:after="120" w:before="0"/>
        <w:jc w:val="left"/>
      </w:pPr>
      <w:r>
        <w:rPr>
          <w:rFonts w:ascii="Arial" w:hAnsi="Arial"/>
          <w:b/>
          <w:i w:val="0"/>
          <w:color w:val="283C78"/>
          <w:sz w:val="20"/>
        </w:rPr>
        <w:t>Notable portfolio: Porter, Wysa, Zetwork, 1K Kirana, Yulu (early)</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Kae Capital describes itself as an 'all-weather partner' that often writes the very first cheque. Founder Sasha Mirchandani is known for being deeply founder-friendly and for staying close to companies through multiple cycles.</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Kae's website has an active pitch submission form. They are particularly strong at Mumbai-based consumer and fintech deals — but invest pan-India.</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Seed-stage founders who want a long-term investor partner with a deep Mumbai ecosystem.</w:t>
            </w:r>
          </w:p>
        </w:tc>
      </w:tr>
    </w:tbl>
    <w:p>
      <w:pPr>
        <w:spacing w:after="120"/>
      </w:pPr>
    </w:p>
    <w:p>
      <w:pPr>
        <w:pStyle w:val="Heading3"/>
        <w:spacing w:before="240" w:after="160"/>
      </w:pPr>
      <w:r>
        <w:rPr>
          <w:rFonts w:ascii="Arial" w:hAnsi="Arial"/>
          <w:b/>
          <w:color w:val="142864"/>
          <w:sz w:val="26"/>
        </w:rPr>
        <w:t>14. Chiratae Ventures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Seed to Series B</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$1M – $10M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Consumer, HealthTech, SaaS, DeepTech, Mobility</w:t>
            </w:r>
          </w:p>
        </w:tc>
      </w:tr>
    </w:tbl>
    <w:p>
      <w:pPr>
        <w:spacing w:after="80"/>
      </w:pPr>
    </w:p>
    <w:p>
      <w:pPr>
        <w:spacing w:after="80" w:before="0"/>
        <w:jc w:val="left"/>
      </w:pPr>
      <w:r>
        <w:rPr>
          <w:rFonts w:ascii="Arial" w:hAnsi="Arial"/>
          <w:b w:val="0"/>
          <w:i/>
          <w:color w:val="646478"/>
          <w:sz w:val="20"/>
        </w:rPr>
        <w:t>Fund size: Over $900M across fund vintages</w:t>
      </w:r>
    </w:p>
    <w:p>
      <w:pPr>
        <w:spacing w:after="120" w:before="0"/>
        <w:jc w:val="left"/>
      </w:pPr>
      <w:r>
        <w:rPr>
          <w:rFonts w:ascii="Arial" w:hAnsi="Arial"/>
          <w:b/>
          <w:i w:val="0"/>
          <w:color w:val="283C78"/>
          <w:sz w:val="20"/>
        </w:rPr>
        <w:t>Notable portfolio: Lenskart, Curefoods, Uniphore, FirstCry, Flipkart (early)</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One of India's longer-running VC firms, Chiratae (formerly IDG Ventures India) has deep expertise in identifying consumer category leaders early. Founder Sudhir Sethi is a pioneer of the Indian VC ecosystem.</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Chiratae tends to back founders with strong domain expertise and a clear path to market leadership. Demonstrate that you understand the competitive landscape deeply.</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Founders building in consumer, health-tech, or SaaS with strong domain credentials and a clear market-leadership thesis.</w:t>
            </w:r>
          </w:p>
        </w:tc>
      </w:tr>
    </w:tbl>
    <w:p>
      <w:pPr>
        <w:spacing w:after="120"/>
      </w:pPr>
    </w:p>
    <w:p>
      <w:pPr>
        <w:pStyle w:val="Heading3"/>
        <w:spacing w:before="240" w:after="160"/>
      </w:pPr>
      <w:r>
        <w:rPr>
          <w:rFonts w:ascii="Arial" w:hAnsi="Arial"/>
          <w:b/>
          <w:color w:val="142864"/>
          <w:sz w:val="26"/>
        </w:rPr>
        <w:t>15. Fireside Ventures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Seed to Series A</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$1M – $8M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D2C Consumer Brands, FMCG, Personal Care</w:t>
            </w:r>
          </w:p>
        </w:tc>
      </w:tr>
    </w:tbl>
    <w:p>
      <w:pPr>
        <w:spacing w:after="80"/>
      </w:pPr>
    </w:p>
    <w:p>
      <w:pPr>
        <w:spacing w:after="80" w:before="0"/>
        <w:jc w:val="left"/>
      </w:pPr>
      <w:r>
        <w:rPr>
          <w:rFonts w:ascii="Arial" w:hAnsi="Arial"/>
          <w:b w:val="0"/>
          <w:i/>
          <w:color w:val="646478"/>
          <w:sz w:val="20"/>
        </w:rPr>
        <w:t>Fund size: India's leading consumer brand fund with $270M+ deployed</w:t>
      </w:r>
    </w:p>
    <w:p>
      <w:pPr>
        <w:spacing w:after="120" w:before="0"/>
        <w:jc w:val="left"/>
      </w:pPr>
      <w:r>
        <w:rPr>
          <w:rFonts w:ascii="Arial" w:hAnsi="Arial"/>
          <w:b/>
          <w:i w:val="0"/>
          <w:color w:val="283C78"/>
          <w:sz w:val="20"/>
        </w:rPr>
        <w:t>Notable portfolio: Mamaearth (early), MCaffeine, Vahdam Teas, Slurrp Farm, Heads Up For Tails</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Fireside is India's most specialised D2C and consumer brand fund. They back founders building the next generation of Indian consumer brands — with a particular focus on digital-first, sustainability-forward, and health-conscious categories.</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If you are building a consumer brand, Fireside is your first call. Come with strong retention data, a clear brand story, and evidence of repeat purchase behaviour.</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Founders building D2C or consumer brands in beauty, wellness, food, or lifestyle — not a fit for SaaS or B2B.</w:t>
            </w:r>
          </w:p>
        </w:tc>
      </w:tr>
    </w:tbl>
    <w:p>
      <w:pPr>
        <w:spacing w:after="120"/>
      </w:pPr>
    </w:p>
    <w:p>
      <w:pPr>
        <w:pStyle w:val="Heading3"/>
        <w:spacing w:before="240" w:after="160"/>
      </w:pPr>
      <w:r>
        <w:rPr>
          <w:rFonts w:ascii="Arial" w:hAnsi="Arial"/>
          <w:b/>
          <w:color w:val="142864"/>
          <w:sz w:val="26"/>
        </w:rPr>
        <w:t>16. Speciale Invest</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$200K – $2M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DeepTech, Defence Tech, Space, Climate Tech, Robotics</w:t>
            </w:r>
          </w:p>
        </w:tc>
      </w:tr>
    </w:tbl>
    <w:p>
      <w:pPr>
        <w:spacing w:after="80"/>
      </w:pPr>
    </w:p>
    <w:p>
      <w:pPr>
        <w:spacing w:after="80" w:before="0"/>
        <w:jc w:val="left"/>
      </w:pPr>
      <w:r>
        <w:rPr>
          <w:rFonts w:ascii="Arial" w:hAnsi="Arial"/>
          <w:b w:val="0"/>
          <w:i/>
          <w:color w:val="646478"/>
          <w:sz w:val="20"/>
        </w:rPr>
        <w:t>Fund size: Two funds with a science-first thesis</w:t>
      </w:r>
    </w:p>
    <w:p>
      <w:pPr>
        <w:spacing w:after="120" w:before="0"/>
        <w:jc w:val="left"/>
      </w:pPr>
      <w:r>
        <w:rPr>
          <w:rFonts w:ascii="Arial" w:hAnsi="Arial"/>
          <w:b/>
          <w:i w:val="0"/>
          <w:color w:val="283C78"/>
          <w:sz w:val="20"/>
        </w:rPr>
        <w:t>Notable portfolio: Pixxel (space tech), Sagar Defence, Dhruva Space, Ati Motors</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Speciale invests at the intersection of deep science and large market opportunity. They are one of the few Indian VCs with genuine conviction in deep tech sectors like space, defence, and robotics — categories that most generalist funds avoid.</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Speciale evaluates technical defensibility first. You will need to demonstrate IP, a novel scientific approach, or regulatory barriers to entry. Long decision timelines are normal — typically 3 to 6 months.</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Scientists, engineers, and technical founders building hardware, space, defence, or climate tech.</w:t>
            </w:r>
          </w:p>
        </w:tc>
      </w:tr>
    </w:tbl>
    <w:p>
      <w:pPr>
        <w:spacing w:after="120"/>
      </w:pPr>
    </w:p>
    <w:p>
      <w:pPr>
        <w:pStyle w:val="Heading3"/>
        <w:spacing w:before="240" w:after="160"/>
      </w:pPr>
      <w:r>
        <w:rPr>
          <w:rFonts w:ascii="Arial" w:hAnsi="Arial"/>
          <w:b/>
          <w:color w:val="142864"/>
          <w:sz w:val="26"/>
        </w:rPr>
        <w:t>17. Ankur Capital</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Mumbai</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Seed to Series A</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$500K – $4M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Agritech, Climate Tech, Deep Science, Food Systems</w:t>
            </w:r>
          </w:p>
        </w:tc>
      </w:tr>
    </w:tbl>
    <w:p>
      <w:pPr>
        <w:spacing w:after="80"/>
      </w:pPr>
    </w:p>
    <w:p>
      <w:pPr>
        <w:spacing w:after="80" w:before="0"/>
        <w:jc w:val="left"/>
      </w:pPr>
      <w:r>
        <w:rPr>
          <w:rFonts w:ascii="Arial" w:hAnsi="Arial"/>
          <w:b w:val="0"/>
          <w:i/>
          <w:color w:val="646478"/>
          <w:sz w:val="20"/>
        </w:rPr>
        <w:t>Fund size: Two funds focused on 'underserved markets'</w:t>
      </w:r>
    </w:p>
    <w:p>
      <w:pPr>
        <w:spacing w:after="120" w:before="0"/>
        <w:jc w:val="left"/>
      </w:pPr>
      <w:r>
        <w:rPr>
          <w:rFonts w:ascii="Arial" w:hAnsi="Arial"/>
          <w:b/>
          <w:i w:val="0"/>
          <w:color w:val="283C78"/>
          <w:sz w:val="20"/>
        </w:rPr>
        <w:t>Notable portfolio: Intello Labs, Clover, Kheyti, Arya.ag, Numer8</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Ankur Capital finds value in markets most VCs overlook — agriculture, food systems, and climate. Their thesis is that India's most important problems live outside of consumer apps and SaaS, and they back founders brave enough to work on them.</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Ankur values mission-aligned founders who have spent real time in the field with their target customers. Vanity metrics do not move them — customer impact does.</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Founders working on agritech, climate, or deep science with strong field validation.</w:t>
            </w:r>
          </w:p>
        </w:tc>
      </w:tr>
    </w:tbl>
    <w:p>
      <w:pPr>
        <w:spacing w:after="120"/>
      </w:pPr>
    </w:p>
    <w:p>
      <w:pPr>
        <w:pStyle w:val="Heading3"/>
        <w:spacing w:before="240" w:after="160"/>
      </w:pPr>
      <w:r>
        <w:rPr>
          <w:rFonts w:ascii="Arial" w:hAnsi="Arial"/>
          <w:b/>
          <w:color w:val="142864"/>
          <w:sz w:val="26"/>
        </w:rPr>
        <w:t>18. pi Ventures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Bengaluru</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Seed to Series A</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$500K – $5M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AI/ML, Deep Tech, Computer Vision, NLP, Robotics</w:t>
            </w:r>
          </w:p>
        </w:tc>
      </w:tr>
    </w:tbl>
    <w:p>
      <w:pPr>
        <w:spacing w:after="80"/>
      </w:pPr>
    </w:p>
    <w:p>
      <w:pPr>
        <w:spacing w:after="80" w:before="0"/>
        <w:jc w:val="left"/>
      </w:pPr>
      <w:r>
        <w:rPr>
          <w:rFonts w:ascii="Arial" w:hAnsi="Arial"/>
          <w:b w:val="0"/>
          <w:i/>
          <w:color w:val="646478"/>
          <w:sz w:val="20"/>
        </w:rPr>
        <w:t>Fund size: Two funds with a science-first, AI-native approach</w:t>
      </w:r>
    </w:p>
    <w:p>
      <w:pPr>
        <w:spacing w:after="120" w:before="0"/>
        <w:jc w:val="left"/>
      </w:pPr>
      <w:r>
        <w:rPr>
          <w:rFonts w:ascii="Arial" w:hAnsi="Arial"/>
          <w:b/>
          <w:i w:val="0"/>
          <w:color w:val="283C78"/>
          <w:sz w:val="20"/>
        </w:rPr>
        <w:t>Notable portfolio: Mad Street Den, Detect Technologies, Jiva, Cropin, SigTuple</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pi Ventures is India's most focused AI and deep tech seed fund. They evaluate technical defensibility far more rigorously than generalist investors — they want to see genuine ML innovation, not just AI wrappers.</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Your CTO or technical co-founder should lead the conversation with pi. Walk them through the architecture, the training data moat, and why the model improves with scale.</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Technical founders building AI/ML-native products where the model itself is the product.</w:t>
            </w:r>
          </w:p>
        </w:tc>
      </w:tr>
    </w:tbl>
    <w:p>
      <w:pPr>
        <w:spacing w:after="120"/>
      </w:pPr>
    </w:p>
    <w:p>
      <w:pPr>
        <w:pStyle w:val="Heading3"/>
        <w:spacing w:before="240" w:after="160"/>
      </w:pPr>
      <w:r>
        <w:rPr>
          <w:rFonts w:ascii="Arial" w:hAnsi="Arial"/>
          <w:b/>
          <w:color w:val="142864"/>
          <w:sz w:val="26"/>
        </w:rPr>
        <w:t>19. Titan Capital</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Delhi</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$100K – $1.5M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Sector agnostic — strong consumer and B2B history</w:t>
            </w:r>
          </w:p>
        </w:tc>
      </w:tr>
    </w:tbl>
    <w:p>
      <w:pPr>
        <w:spacing w:after="80"/>
      </w:pPr>
    </w:p>
    <w:p>
      <w:pPr>
        <w:spacing w:after="80" w:before="0"/>
        <w:jc w:val="left"/>
      </w:pPr>
      <w:r>
        <w:rPr>
          <w:rFonts w:ascii="Arial" w:hAnsi="Arial"/>
          <w:b w:val="0"/>
          <w:i/>
          <w:color w:val="646478"/>
          <w:sz w:val="20"/>
        </w:rPr>
        <w:t>Fund size: Family office of Snapdeal founders Kunal Bahl &amp; Rohit Bansal, 200+ investments</w:t>
      </w:r>
    </w:p>
    <w:p>
      <w:pPr>
        <w:spacing w:after="120" w:before="0"/>
        <w:jc w:val="left"/>
      </w:pPr>
      <w:r>
        <w:rPr>
          <w:rFonts w:ascii="Arial" w:hAnsi="Arial"/>
          <w:b/>
          <w:i w:val="0"/>
          <w:color w:val="283C78"/>
          <w:sz w:val="20"/>
        </w:rPr>
        <w:t>Notable portfolio: Mamaearth, Bombay Shaving Company, Mobikwik, Open (early), SUGAR (early)</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Titan operates with the speed of an angel but the wallet of a VC. They are prolific, founder-focused, and often the first 'yes' a startup receives. Their direct application form on the website is actively monitored.</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Keep it short and honest. Kunal Bahl values founder authenticity over polished decks. Be clear about what you do not know yet.</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First-time founders who need a fast, founder-empathetic first cheque with zero bureaucracy.</w:t>
            </w:r>
          </w:p>
        </w:tc>
      </w:tr>
    </w:tbl>
    <w:p>
      <w:pPr>
        <w:spacing w:after="120"/>
      </w:pPr>
    </w:p>
    <w:p>
      <w:pPr>
        <w:pStyle w:val="Heading3"/>
        <w:spacing w:before="240" w:after="160"/>
      </w:pPr>
      <w:r>
        <w:rPr>
          <w:rFonts w:ascii="Arial" w:hAnsi="Arial"/>
          <w:b/>
          <w:color w:val="142864"/>
          <w:sz w:val="26"/>
        </w:rPr>
        <w:t>20. Venture Catalysts</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F0F4FF"/>
            <w:tcW w:w="16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HQ</w:t>
              <w:br/>
            </w:r>
            <w:r>
              <w:rPr>
                <w:rFonts w:ascii="Arial" w:hAnsi="Arial"/>
                <w:color w:val="141E3C"/>
                <w:sz w:val="18"/>
              </w:rPr>
              <w:t>Mumbai (pan-India)</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Stage</w:t>
              <w:br/>
            </w:r>
            <w:r>
              <w:rPr>
                <w:rFonts w:ascii="Arial" w:hAnsi="Arial"/>
                <w:color w:val="141E3C"/>
                <w:sz w:val="18"/>
              </w:rPr>
              <w:t>Pre-seed to Seed</w:t>
            </w:r>
          </w:p>
        </w:tc>
        <w:tc>
          <w:tcPr>
            <w:tcW w:type="dxa" w:w="2340"/>
            <w:shd w:val="clear" w:color="auto" w:fill="F0F4FF"/>
            <w:tcW w:w="180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Cheque size</w:t>
              <w:br/>
            </w:r>
            <w:r>
              <w:rPr>
                <w:rFonts w:ascii="Arial" w:hAnsi="Arial"/>
                <w:color w:val="141E3C"/>
                <w:sz w:val="18"/>
              </w:rPr>
              <w:t>$100K – $2M</w:t>
            </w:r>
          </w:p>
        </w:tc>
        <w:tc>
          <w:tcPr>
            <w:tcW w:type="dxa" w:w="2340"/>
            <w:shd w:val="clear" w:color="auto" w:fill="F0F4FF"/>
            <w:tcW w:w="3760" w:type="dxa"/>
            <w:tcBorders>
              <w:top w:val="single" w:sz="2" w:space="0" w:color="C5D0E8"/>
              <w:left w:val="single" w:sz="2" w:space="0" w:color="C5D0E8"/>
              <w:bottom w:val="single" w:sz="2" w:space="0" w:color="C5D0E8"/>
              <w:right w:val="single" w:sz="2" w:space="0" w:color="C5D0E8"/>
            </w:tcBorders>
          </w:tcPr>
          <w:p>
            <w:pPr>
              <w:spacing w:before="80" w:after="80"/>
            </w:pPr>
            <w:r>
              <w:rPr>
                <w:rFonts w:ascii="Arial" w:hAnsi="Arial"/>
                <w:b/>
                <w:color w:val="5064A0"/>
                <w:sz w:val="16"/>
              </w:rPr>
              <w:t>🎯 Sectors</w:t>
              <w:br/>
            </w:r>
            <w:r>
              <w:rPr>
                <w:rFonts w:ascii="Arial" w:hAnsi="Arial"/>
                <w:color w:val="141E3C"/>
                <w:sz w:val="18"/>
              </w:rPr>
              <w:t>Consumer, HealthTech, EdTech, FinTech, Tier 2/3 markets</w:t>
            </w:r>
          </w:p>
        </w:tc>
      </w:tr>
    </w:tbl>
    <w:p>
      <w:pPr>
        <w:spacing w:after="80"/>
      </w:pPr>
    </w:p>
    <w:p>
      <w:pPr>
        <w:spacing w:after="80" w:before="0"/>
        <w:jc w:val="left"/>
      </w:pPr>
      <w:r>
        <w:rPr>
          <w:rFonts w:ascii="Arial" w:hAnsi="Arial"/>
          <w:b w:val="0"/>
          <w:i/>
          <w:color w:val="646478"/>
          <w:sz w:val="20"/>
        </w:rPr>
        <w:t>Fund size: Asia's largest co-integrated incubator, 500+ investments</w:t>
      </w:r>
    </w:p>
    <w:p>
      <w:pPr>
        <w:spacing w:after="120" w:before="0"/>
        <w:jc w:val="left"/>
      </w:pPr>
      <w:r>
        <w:rPr>
          <w:rFonts w:ascii="Arial" w:hAnsi="Arial"/>
          <w:b/>
          <w:i w:val="0"/>
          <w:color w:val="283C78"/>
          <w:sz w:val="20"/>
        </w:rPr>
        <w:t>Notable portfolio: Nykaa (early), Fashor, Ultrahuman, Park+, CityMall</w:t>
      </w:r>
    </w:p>
    <w:p>
      <w:pPr>
        <w:spacing w:after="40" w:before="0"/>
        <w:jc w:val="left"/>
      </w:pPr>
      <w:r>
        <w:rPr>
          <w:rFonts w:ascii="Arial" w:hAnsi="Arial"/>
          <w:b/>
          <w:i w:val="0"/>
          <w:color w:val="3C3C50"/>
          <w:sz w:val="20"/>
        </w:rPr>
        <w:t>Investment thesis</w:t>
      </w:r>
    </w:p>
    <w:p>
      <w:pPr>
        <w:spacing w:after="120" w:before="0"/>
        <w:jc w:val="left"/>
      </w:pPr>
      <w:r>
        <w:rPr>
          <w:rFonts w:ascii="Arial" w:hAnsi="Arial"/>
          <w:b w:val="0"/>
          <w:i w:val="0"/>
          <w:sz w:val="22"/>
        </w:rPr>
        <w:t>Venture Catalysts is the most geographically inclusive VC platform on this list — they actively seek founders from Tier 2 and Tier 3 cities who are often overlooked by metro-focused funds. Their incubation model provides mentorship alongside capital.</w:t>
      </w:r>
    </w:p>
    <w:p>
      <w:pPr>
        <w:spacing w:after="40" w:before="0"/>
        <w:jc w:val="left"/>
      </w:pPr>
      <w:r>
        <w:rPr>
          <w:rFonts w:ascii="Arial" w:hAnsi="Arial"/>
          <w:b/>
          <w:i w:val="0"/>
          <w:color w:val="3C3C50"/>
          <w:sz w:val="20"/>
        </w:rPr>
        <w:t>How to approach them</w:t>
      </w:r>
    </w:p>
    <w:p>
      <w:pPr>
        <w:spacing w:after="120" w:before="0"/>
        <w:jc w:val="left"/>
      </w:pPr>
      <w:r>
        <w:rPr>
          <w:rFonts w:ascii="Arial" w:hAnsi="Arial"/>
          <w:b w:val="0"/>
          <w:i w:val="0"/>
          <w:sz w:val="22"/>
        </w:rPr>
        <w:t>Apply through their structured incubator programme. Geographic diversity is a plus, not a minus — be direct about where you are based and who your customers are.</w:t>
      </w: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160"/>
            </w:pPr>
            <w:r>
              <w:rPr>
                <w:rFonts w:ascii="Arial" w:hAnsi="Arial"/>
                <w:b/>
                <w:color w:val="14501E"/>
                <w:sz w:val="20"/>
              </w:rPr>
              <w:t>✅  Best for</w:t>
            </w:r>
          </w:p>
          <w:p>
            <w:pPr>
              <w:spacing w:after="160"/>
            </w:pPr>
            <w:r>
              <w:rPr>
                <w:rFonts w:ascii="Arial" w:hAnsi="Arial"/>
                <w:color w:val="14501E"/>
                <w:sz w:val="22"/>
              </w:rPr>
              <w:t>Founders from non-metro cities, or those targeting the next 300 million Indian consumers outside of Bengaluru, Mumbai, and Delhi.</w:t>
            </w:r>
          </w:p>
        </w:tc>
      </w:tr>
    </w:tbl>
    <w:p>
      <w:pPr>
        <w:spacing w:after="120"/>
      </w:pPr>
    </w:p>
    <w:p>
      <w:pPr>
        <w:pBdr>
          <w:bottom w:val="single" w:sz="4" w:space="1" w:color="CCCCCC"/>
        </w:pBdr>
        <w:spacing w:after="200" w:before="200"/>
      </w:pPr>
    </w:p>
    <w:p>
      <w:pPr>
        <w:pStyle w:val="Heading2"/>
        <w:spacing w:before="360" w:after="160"/>
      </w:pPr>
      <w:r>
        <w:rPr>
          <w:rFonts w:ascii="Arial" w:hAnsi="Arial"/>
          <w:b/>
          <w:color w:val="1E1E1E"/>
          <w:sz w:val="34"/>
        </w:rPr>
        <w:t>How to choose the right VC for your startup</w:t>
      </w:r>
    </w:p>
    <w:p>
      <w:pPr>
        <w:spacing w:after="160" w:before="0"/>
        <w:jc w:val="left"/>
      </w:pPr>
      <w:r>
        <w:rPr>
          <w:rFonts w:ascii="Arial" w:hAnsi="Arial"/>
          <w:b w:val="0"/>
          <w:i w:val="0"/>
          <w:sz w:val="22"/>
        </w:rPr>
        <w:t>With 20 firms on this list, the temptation is to mass-email all of them. Do not. Indian VCs talk to each other, and a scattergun approach damages your credibility before you even get into a meeting.</w:t>
      </w:r>
    </w:p>
    <w:p>
      <w:pPr>
        <w:spacing w:after="120" w:before="0"/>
        <w:jc w:val="left"/>
      </w:pPr>
      <w:r>
        <w:rPr>
          <w:rFonts w:ascii="Arial" w:hAnsi="Arial"/>
          <w:b w:val="0"/>
          <w:i w:val="0"/>
          <w:sz w:val="22"/>
        </w:rPr>
        <w:t>Use this four-step filter before you reach out to anyone:</w:t>
      </w:r>
    </w:p>
    <w:p>
      <w:pPr>
        <w:pStyle w:val="ListBullet"/>
        <w:spacing w:after="80"/>
      </w:pPr>
      <w:r>
        <w:rPr>
          <w:rFonts w:ascii="Arial" w:hAnsi="Arial"/>
          <w:sz w:val="22"/>
        </w:rPr>
        <w:t>Stage match first. Pre-seed founders should focus on 100X.VC, Titan, Better Capital, and Speciale. Seed founders look at Blume, 3one4, Kae, India Quotient. Series A+ means Peak XV, Accel, Elevation, Lightspeed.</w:t>
      </w:r>
    </w:p>
    <w:p>
      <w:pPr>
        <w:pStyle w:val="ListBullet"/>
        <w:spacing w:after="80"/>
      </w:pPr>
      <w:r>
        <w:rPr>
          <w:rFonts w:ascii="Arial" w:hAnsi="Arial"/>
          <w:sz w:val="22"/>
        </w:rPr>
        <w:t>Sector fit second. There is no point pitching a D2C brand to pi Ventures, or an AI/ML product to Fireside. Read each firm's recent investments before you draft your email.</w:t>
      </w:r>
    </w:p>
    <w:p>
      <w:pPr>
        <w:pStyle w:val="ListBullet"/>
        <w:spacing w:after="80"/>
      </w:pPr>
      <w:r>
        <w:rPr>
          <w:rFonts w:ascii="Arial" w:hAnsi="Arial"/>
          <w:sz w:val="22"/>
        </w:rPr>
        <w:t>Cheque size sanity check. If you need ₹5 crore, approaching a fund whose minimum cheque is $3M is a waste of everyone's time. Match your ask to their range.</w:t>
      </w:r>
    </w:p>
    <w:p>
      <w:pPr>
        <w:pStyle w:val="ListBullet"/>
        <w:spacing w:after="80"/>
      </w:pPr>
      <w:r>
        <w:rPr>
          <w:rFonts w:ascii="Arial" w:hAnsi="Arial"/>
          <w:sz w:val="22"/>
        </w:rPr>
        <w:t>Thesis alignment last. Read the firm's published investment memos, partner LinkedIn posts, and portfolio patterns. Your pitch should feel like a natural extension of what they already believe.</w:t>
      </w:r>
    </w:p>
    <w:p>
      <w:pPr>
        <w:spacing w:after="320" w:before="0"/>
        <w:jc w:val="left"/>
      </w:pPr>
      <w:r>
        <w:rPr>
          <w:rFonts w:ascii="Arial" w:hAnsi="Arial"/>
          <w:b w:val="0"/>
          <w:i/>
          <w:color w:val="185FA5"/>
          <w:sz w:val="22"/>
        </w:rPr>
        <w:t>For a deeper breakdown of how to map your startup to the right investor, see our guide: How to Find the Right VC for Your Startup in India.</w:t>
      </w:r>
    </w:p>
    <w:p>
      <w:pPr>
        <w:pBdr>
          <w:bottom w:val="single" w:sz="4" w:space="1" w:color="CCCCCC"/>
        </w:pBdr>
        <w:spacing w:after="200" w:before="200"/>
      </w:pPr>
    </w:p>
    <w:p>
      <w:pPr>
        <w:pStyle w:val="Heading2"/>
        <w:spacing w:before="360" w:after="160"/>
      </w:pPr>
      <w:r>
        <w:rPr>
          <w:rFonts w:ascii="Arial" w:hAnsi="Arial"/>
          <w:b/>
          <w:color w:val="1E1E1E"/>
          <w:sz w:val="34"/>
        </w:rPr>
        <w:t>Frequently asked questions</w:t>
      </w:r>
    </w:p>
    <w:tbl>
      <w:tblPr>
        <w:tblW w:type="auto" w:w="0"/>
        <w:jc w:val="center"/>
        <w:tblLook w:firstColumn="1" w:firstRow="1" w:lastColumn="0" w:lastRow="0" w:noHBand="0" w:noVBand="1" w:val="04A0"/>
      </w:tblPr>
      <w:tblGrid>
        <w:gridCol w:w="9360"/>
      </w:tblGrid>
      <w:tr>
        <w:tc>
          <w:tcPr>
            <w:tcW w:type="dxa" w:w="9360"/>
            <w:shd w:val="clear" w:color="auto" w:fill="EEF2FF"/>
            <w:tcBorders>
              <w:top w:val="single" w:sz="8" w:space="0" w:color="5B62D6"/>
              <w:left w:val="single" w:sz="8" w:space="0" w:color="5B62D6"/>
              <w:bottom w:val="single" w:sz="8" w:space="0" w:color="5B62D6"/>
              <w:right w:val="single" w:sz="8" w:space="0" w:color="5B62D6"/>
            </w:tcBorders>
          </w:tcPr>
          <w:p>
            <w:pPr>
              <w:spacing w:before="160"/>
            </w:pPr>
            <w:r>
              <w:rPr>
                <w:rFonts w:ascii="Arial" w:hAnsi="Arial"/>
                <w:b/>
                <w:color w:val="281E78"/>
                <w:sz w:val="20"/>
              </w:rPr>
              <w:t>ℹ️  Add FAQ schema markup in your CMS for featured snippet eligibility</w:t>
            </w:r>
          </w:p>
          <w:p>
            <w:pPr>
              <w:spacing w:after="160"/>
            </w:pPr>
            <w:r>
              <w:rPr>
                <w:rFonts w:ascii="Arial" w:hAnsi="Arial"/>
                <w:color w:val="281E78"/>
                <w:sz w:val="22"/>
              </w:rPr>
              <w:t>Use the FAQPage schema type with each Q&amp;A as a Question entity.</w:t>
            </w:r>
          </w:p>
        </w:tc>
      </w:tr>
    </w:tbl>
    <w:p>
      <w:pPr>
        <w:spacing w:after="120"/>
      </w:pPr>
    </w:p>
    <w:p>
      <w:pPr>
        <w:spacing w:before="200" w:after="80"/>
      </w:pPr>
      <w:r>
        <w:rPr>
          <w:rFonts w:ascii="Arial" w:hAnsi="Arial"/>
          <w:b/>
          <w:color w:val="142864"/>
          <w:sz w:val="22"/>
        </w:rPr>
        <w:t>Q: Which are the best VC firms in India for early-stage startups?</w:t>
      </w:r>
    </w:p>
    <w:p>
      <w:pPr>
        <w:spacing w:after="240" w:before="0"/>
        <w:jc w:val="left"/>
      </w:pPr>
      <w:r>
        <w:rPr>
          <w:rFonts w:ascii="Arial" w:hAnsi="Arial"/>
          <w:b w:val="0"/>
          <w:i w:val="0"/>
          <w:sz w:val="22"/>
        </w:rPr>
        <w:t>A: The best VC firms for early-stage startups in India in 2026 include Blume Ventures, 3one4 Capital, Better Capital, 100X.VC, and India Quotient for pre-seed and seed stage. For Series A, Peak XV Partners, Accel India, Elevation Capital, and Lightspeed India are the most active. The 'best' firm depends entirely on your sector and stage.</w:t>
      </w:r>
    </w:p>
    <w:p>
      <w:pPr>
        <w:spacing w:before="200" w:after="80"/>
      </w:pPr>
      <w:r>
        <w:rPr>
          <w:rFonts w:ascii="Arial" w:hAnsi="Arial"/>
          <w:b/>
          <w:color w:val="142864"/>
          <w:sz w:val="22"/>
        </w:rPr>
        <w:t>Q: How much do Indian VCs invest at the seed stage?</w:t>
      </w:r>
    </w:p>
    <w:p>
      <w:pPr>
        <w:spacing w:after="240" w:before="0"/>
        <w:jc w:val="left"/>
      </w:pPr>
      <w:r>
        <w:rPr>
          <w:rFonts w:ascii="Arial" w:hAnsi="Arial"/>
          <w:b w:val="0"/>
          <w:i w:val="0"/>
          <w:sz w:val="22"/>
        </w:rPr>
        <w:t>A: Seed-stage cheques in India typically range from ₹4 crore to ₹40 crore ($500K to $5M), depending on the fund. Micro VCs like Better Capital and 100X.VC write smaller initial cheques of ₹50 lakh to ₹2 crore, while larger seed funds like Stellaris or Nexus can deploy up to $10–15M at seed or early Series A.</w:t>
      </w:r>
    </w:p>
    <w:p>
      <w:pPr>
        <w:spacing w:before="200" w:after="80"/>
      </w:pPr>
      <w:r>
        <w:rPr>
          <w:rFonts w:ascii="Arial" w:hAnsi="Arial"/>
          <w:b/>
          <w:color w:val="142864"/>
          <w:sz w:val="22"/>
        </w:rPr>
        <w:t>Q: What do Indian VCs look for before investing?</w:t>
      </w:r>
    </w:p>
    <w:p>
      <w:pPr>
        <w:spacing w:after="240" w:before="0"/>
        <w:jc w:val="left"/>
      </w:pPr>
      <w:r>
        <w:rPr>
          <w:rFonts w:ascii="Arial" w:hAnsi="Arial"/>
          <w:b w:val="0"/>
          <w:i w:val="0"/>
          <w:sz w:val="22"/>
        </w:rPr>
        <w:t>A: In 2026, Indian VCs are prioritising: strong founder-market fit, clear traction or product-market fit signals, defensible unit economics (CAC payback, NRR, burn multiple), a large and growing addressable market, and a thesis alignment with the fund's investment focus. First-time founders can compensate for lack of experience with strong evidence of problem-solution fit.</w:t>
      </w:r>
    </w:p>
    <w:p>
      <w:pPr>
        <w:spacing w:before="200" w:after="80"/>
      </w:pPr>
      <w:r>
        <w:rPr>
          <w:rFonts w:ascii="Arial" w:hAnsi="Arial"/>
          <w:b/>
          <w:color w:val="142864"/>
          <w:sz w:val="22"/>
        </w:rPr>
        <w:t>Q: What is the difference between a micro VC and a large VC fund in India?</w:t>
      </w:r>
    </w:p>
    <w:p>
      <w:pPr>
        <w:spacing w:after="240" w:before="0"/>
        <w:jc w:val="left"/>
      </w:pPr>
      <w:r>
        <w:rPr>
          <w:rFonts w:ascii="Arial" w:hAnsi="Arial"/>
          <w:b w:val="0"/>
          <w:i w:val="0"/>
          <w:sz w:val="22"/>
        </w:rPr>
        <w:t>A: Micro VCs (funds under $50M) typically write smaller cheques at pre-seed and seed, make faster decisions, and are more hands-on operationally. Large multi-stage funds like Peak XV or Accel have larger cheque sizes, longer diligence processes, and bring stronger brand credibility. For your first round, micro VCs are usually the right starting point. See our guide to micro VCs in India for a deeper comparison.</w:t>
      </w:r>
    </w:p>
    <w:p>
      <w:pPr>
        <w:spacing w:before="200" w:after="80"/>
      </w:pPr>
      <w:r>
        <w:rPr>
          <w:rFonts w:ascii="Arial" w:hAnsi="Arial"/>
          <w:b/>
          <w:color w:val="142864"/>
          <w:sz w:val="22"/>
        </w:rPr>
        <w:t>Q: How do I contact a VC firm in India?</w:t>
      </w:r>
    </w:p>
    <w:p>
      <w:pPr>
        <w:spacing w:after="240" w:before="0"/>
        <w:jc w:val="left"/>
      </w:pPr>
      <w:r>
        <w:rPr>
          <w:rFonts w:ascii="Arial" w:hAnsi="Arial"/>
          <w:b w:val="0"/>
          <w:i w:val="0"/>
          <w:sz w:val="22"/>
        </w:rPr>
        <w:t>A: The most effective path is a warm introduction through a portfolio founder or mutual connection. If that is not possible, many Indian VCs — including 100X.VC, Titan Capital, and Kalaari — have active pitch submission forms on their websites. Cold outreach works best when it is short, specific, and shows you have done your homework on the fund's thesis. VC Dekho is building a platform where founders can find direct contacts for Indian VCs — join the waitlist at vcdekho.com.</w:t>
      </w:r>
    </w:p>
    <w:p>
      <w:pPr>
        <w:pBdr>
          <w:bottom w:val="single" w:sz="4" w:space="1" w:color="CCCCCC"/>
        </w:pBdr>
        <w:spacing w:after="200" w:before="200"/>
      </w:pPr>
    </w:p>
    <w:p>
      <w:pPr>
        <w:pStyle w:val="Heading2"/>
        <w:spacing w:before="360" w:after="160"/>
      </w:pPr>
      <w:r>
        <w:rPr>
          <w:rFonts w:ascii="Arial" w:hAnsi="Arial"/>
          <w:b/>
          <w:color w:val="1E1E1E"/>
          <w:sz w:val="34"/>
        </w:rPr>
        <w:t>Final thoughts</w:t>
      </w:r>
    </w:p>
    <w:p>
      <w:pPr>
        <w:spacing w:after="160" w:before="0"/>
        <w:jc w:val="left"/>
      </w:pPr>
      <w:r>
        <w:rPr>
          <w:rFonts w:ascii="Arial" w:hAnsi="Arial"/>
          <w:b w:val="0"/>
          <w:i w:val="0"/>
          <w:sz w:val="22"/>
        </w:rPr>
        <w:t>Fundraising in India in 2026 is competitive — but it is also more structured than ever. The best founders are not the ones who pitch the most investors. They are the ones who identify the right 10 to 15 funds, do their homework on each, and show up to the first conversation already knowing what the investor cares about.</w:t>
      </w:r>
    </w:p>
    <w:p>
      <w:pPr>
        <w:spacing w:after="160" w:before="0"/>
        <w:jc w:val="left"/>
      </w:pPr>
      <w:r>
        <w:rPr>
          <w:rFonts w:ascii="Arial" w:hAnsi="Arial"/>
          <w:b w:val="0"/>
          <w:i w:val="0"/>
          <w:sz w:val="22"/>
        </w:rPr>
        <w:t>Use this list as your starting point. For each firm you shortlist, read their partner's recent LinkedIn posts, study two or three portfolio companies, and identify what your startup has in common with their best bets. That is the research that gets you the meeting.</w:t>
      </w:r>
    </w:p>
    <w:p>
      <w:pPr>
        <w:spacing w:after="320" w:before="0"/>
        <w:jc w:val="left"/>
      </w:pPr>
      <w:r>
        <w:rPr>
          <w:rFonts w:ascii="Arial" w:hAnsi="Arial"/>
          <w:b w:val="0"/>
          <w:i/>
          <w:color w:val="646478"/>
          <w:sz w:val="22"/>
        </w:rPr>
        <w:t>We update this list every six months. Bookmark it and check back before your next round.</w:t>
      </w:r>
    </w:p>
    <w:tbl>
      <w:tblPr>
        <w:tblW w:type="auto" w:w="0"/>
        <w:jc w:val="center"/>
        <w:tblLook w:firstColumn="1" w:firstRow="1" w:lastColumn="0" w:lastRow="0" w:noHBand="0" w:noVBand="1" w:val="04A0"/>
      </w:tblPr>
      <w:tblGrid>
        <w:gridCol w:w="9360"/>
      </w:tblGrid>
      <w:tr>
        <w:tc>
          <w:tcPr>
            <w:tcW w:type="dxa" w:w="9360"/>
            <w:shd w:val="clear" w:color="auto" w:fill="E8F4FB"/>
            <w:tcBorders>
              <w:top w:val="single" w:sz="6" w:space="0" w:color="185FA5"/>
              <w:left w:val="single" w:sz="6" w:space="0" w:color="185FA5"/>
              <w:bottom w:val="single" w:sz="6" w:space="0" w:color="185FA5"/>
              <w:right w:val="single" w:sz="6" w:space="0" w:color="185FA5"/>
            </w:tcBorders>
          </w:tcPr>
          <w:p>
            <w:pPr>
              <w:spacing w:before="200"/>
              <w:jc w:val="center"/>
            </w:pPr>
            <w:r>
              <w:rPr>
                <w:rFonts w:ascii="Arial" w:hAnsi="Arial"/>
                <w:b/>
                <w:color w:val="185FA5"/>
                <w:sz w:val="22"/>
              </w:rPr>
              <w:t>📷  IMAGE 4 — VC DEKHO CTA BANNER</w:t>
            </w:r>
          </w:p>
          <w:p>
            <w:pPr>
              <w:jc w:val="center"/>
            </w:pPr>
            <w:r>
              <w:rPr>
                <w:rFonts w:ascii="Arial" w:hAnsi="Arial"/>
                <w:color w:val="3C3C50"/>
                <w:sz w:val="20"/>
              </w:rPr>
              <w:t>Clean branded banner: 'Research every Indian VC in one place.'</w:t>
              <w:br/>
              <w:t>Sub-text: 'Investment thesis · Cheque sizes · Direct contacts'</w:t>
              <w:br/>
              <w:t>CTA button: 'Join the waitlist at vcdekho.com'</w:t>
              <w:br/>
              <w:t>Dimensions: 1200 × 400 px.</w:t>
            </w:r>
          </w:p>
          <w:p>
            <w:pPr>
              <w:spacing w:after="200"/>
              <w:jc w:val="center"/>
            </w:pPr>
            <w:r>
              <w:rPr>
                <w:rFonts w:ascii="Arial" w:hAnsi="Arial"/>
                <w:i/>
                <w:color w:val="78788C"/>
                <w:sz w:val="18"/>
              </w:rPr>
              <w:t>Alt text: "VC Dekho — research Indian VCs, find investment thesis, and unlock investor contacts"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E8F0FE"/>
            <w:tcBorders>
              <w:top w:val="single" w:sz="8" w:space="0" w:color="1A73E8"/>
              <w:left w:val="single" w:sz="8" w:space="0" w:color="1A73E8"/>
              <w:bottom w:val="single" w:sz="8" w:space="0" w:color="1A73E8"/>
              <w:right w:val="single" w:sz="8" w:space="0" w:color="1A73E8"/>
            </w:tcBorders>
          </w:tcPr>
          <w:p>
            <w:pPr>
              <w:spacing w:before="160"/>
            </w:pPr>
            <w:r>
              <w:rPr>
                <w:rFonts w:ascii="Arial" w:hAnsi="Arial"/>
                <w:b/>
                <w:color w:val="0A2878"/>
                <w:sz w:val="20"/>
              </w:rPr>
              <w:t>🚀  Join the VC Dekho waitlist</w:t>
            </w:r>
          </w:p>
          <w:p>
            <w:pPr>
              <w:spacing w:after="160"/>
            </w:pPr>
            <w:r>
              <w:rPr>
                <w:rFonts w:ascii="Arial" w:hAnsi="Arial"/>
                <w:color w:val="0A2878"/>
                <w:sz w:val="22"/>
              </w:rPr>
              <w:t>VC Dekho is building India's most complete VC research platform — investment thesis, cheque sizes, sector focus, and unlockable direct contacts for every fund that matters.</w:t>
              <w:br/>
              <w:br/>
              <w:t>Join the waitlist → vcdekho.com</w:t>
            </w:r>
          </w:p>
        </w:tc>
      </w:tr>
    </w:tbl>
    <w:p>
      <w:pPr>
        <w:spacing w:after="120"/>
      </w:pPr>
    </w:p>
    <w:p>
      <w:pPr>
        <w:pBdr>
          <w:bottom w:val="single" w:sz="4" w:space="1" w:color="CCCCCC"/>
        </w:pBdr>
        <w:spacing w:after="200" w:before="200"/>
      </w:pPr>
    </w:p>
    <w:tbl>
      <w:tblPr>
        <w:tblW w:type="auto" w:w="0"/>
        <w:jc w:val="center"/>
        <w:tblLook w:firstColumn="1" w:firstRow="1" w:lastColumn="0" w:lastRow="0" w:noHBand="0" w:noVBand="1" w:val="04A0"/>
      </w:tblPr>
      <w:tblGrid>
        <w:gridCol w:w="9360"/>
      </w:tblGrid>
      <w:tr>
        <w:tc>
          <w:tcPr>
            <w:tcW w:type="dxa" w:w="9360"/>
            <w:shd w:val="clear" w:color="auto" w:fill="FFF8E1"/>
            <w:tcBorders>
              <w:top w:val="single" w:sz="8" w:space="0" w:color="F59E0B"/>
              <w:left w:val="single" w:sz="8" w:space="0" w:color="F59E0B"/>
              <w:bottom w:val="single" w:sz="8" w:space="0" w:color="F59E0B"/>
              <w:right w:val="single" w:sz="8" w:space="0" w:color="F59E0B"/>
            </w:tcBorders>
          </w:tcPr>
          <w:p>
            <w:pPr>
              <w:spacing w:before="160"/>
            </w:pPr>
            <w:r>
              <w:rPr>
                <w:rFonts w:ascii="Arial" w:hAnsi="Arial"/>
                <w:b/>
                <w:color w:val="503200"/>
                <w:sz w:val="20"/>
              </w:rPr>
              <w:t>📝  EDITOR / PUBLISHER NOTES — remove before publishing</w:t>
            </w:r>
          </w:p>
          <w:p>
            <w:pPr>
              <w:spacing w:after="160"/>
            </w:pPr>
            <w:r>
              <w:rPr>
                <w:rFonts w:ascii="Arial" w:hAnsi="Arial"/>
                <w:color w:val="503200"/>
                <w:sz w:val="22"/>
              </w:rPr>
              <w:t>1. Replace all 4 image placeholders with the actual designed images.</w:t>
              <w:br/>
              <w:t>2. Add FAQ schema markup (FAQPage JSON-LD) in the &lt;head&gt; of the blog post.</w:t>
              <w:br/>
              <w:t>3. Add breadcrumb schema (BreadcrumbList JSON-LD) for the breadcrumb trail.</w:t>
              <w:br/>
              <w:t>4. Internal links to add: 'micro VCs in India' → Blog 3, 'find the right VC' → Blog 4, 'funding stages' → Blog 5.</w:t>
              <w:br/>
              <w:t>5. Set the meta title and description from the SEO block at the top of this doc.</w:t>
              <w:br/>
              <w:t>6. URL slug: /blog/top-vc-firms-india (no year in slug — update content every 6 months).</w:t>
              <w:br/>
              <w:t>7. Set 'last updated' date prominently near the H1 for freshness signals.</w:t>
              <w:br/>
              <w:t>8. Compress all images to &lt;200KB and use WebP format for page speed.</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