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val="clear" w:color="auto" w:fill="EEF2FF"/>
            <w:tcBorders>
              <w:top w:val="single" w:sz="8" w:space="0" w:color="5B62D6"/>
              <w:left w:val="single" w:sz="8" w:space="0" w:color="5B62D6"/>
              <w:bottom w:val="single" w:sz="8" w:space="0" w:color="5B62D6"/>
              <w:right w:val="single" w:sz="8" w:space="0" w:color="5B62D6"/>
            </w:tcBorders>
          </w:tcPr>
          <w:p>
            <w:pPr>
              <w:spacing w:before="160"/>
            </w:pPr>
            <w:r>
              <w:rPr>
                <w:rFonts w:ascii="Arial" w:hAnsi="Arial"/>
                <w:b/>
                <w:color w:val="281E78"/>
                <w:sz w:val="20"/>
              </w:rPr>
              <w:t>🔍  SEO META — paste into your CMS before publishing</w:t>
            </w:r>
          </w:p>
          <w:p>
            <w:pPr>
              <w:spacing w:after="160"/>
            </w:pPr>
            <w:r>
              <w:rPr>
                <w:rFonts w:ascii="Arial" w:hAnsi="Arial"/>
                <w:color w:val="281E78"/>
                <w:sz w:val="22"/>
              </w:rPr>
              <w:t>URL slug:  /blog/micro-vcs-india-first-cheque</w:t>
              <w:br/>
              <w:t>Meta title:  Best Micro VCs in India Writing the First Cheque in 2026</w:t>
              <w:br/>
              <w:t>Meta description:  India has 250+ micro VC funds actively writing first cheques in 2026. Here are the 15 best ones — with thesis, cheque size, and exactly how to approach each.</w:t>
              <w:br/>
              <w:t>Primary keyword:  micro VCs India first cheque</w:t>
              <w:br/>
              <w:t>Secondary keywords:  pre-seed VC India, first institutional cheque India startup, micro VC funds India 2026, best pre-seed investors India</w:t>
              <w:br/>
              <w:t>Word count target:  3,000 – 3,500 words</w:t>
            </w:r>
          </w:p>
        </w:tc>
      </w:tr>
    </w:tbl>
    <w:p>
      <w:pPr>
        <w:spacing w:after="120"/>
      </w:pPr>
    </w:p>
    <w:tbl>
      <w:tblPr>
        <w:tblW w:type="auto" w:w="0"/>
        <w:jc w:val="center"/>
        <w:tblLook w:firstColumn="1" w:firstRow="1" w:lastColumn="0" w:lastRow="0" w:noHBand="0" w:noVBand="1" w:val="04A0"/>
      </w:tblPr>
      <w:tblGrid>
        <w:gridCol w:w="9360"/>
      </w:tblGrid>
      <w:tr>
        <w:tc>
          <w:tcPr>
            <w:tcW w:type="dxa" w:w="9360"/>
            <w:shd w:val="clear" w:color="auto" w:fill="F0FDF4"/>
            <w:tcBorders>
              <w:top w:val="single" w:sz="8" w:space="0" w:color="22C55E"/>
              <w:left w:val="single" w:sz="8" w:space="0" w:color="22C55E"/>
              <w:bottom w:val="single" w:sz="8" w:space="0" w:color="22C55E"/>
              <w:right w:val="single" w:sz="8" w:space="0" w:color="22C55E"/>
            </w:tcBorders>
          </w:tcPr>
          <w:p>
            <w:pPr>
              <w:spacing w:before="160"/>
            </w:pPr>
            <w:r>
              <w:rPr>
                <w:rFonts w:ascii="Arial" w:hAnsi="Arial"/>
                <w:b/>
                <w:color w:val="0A501E"/>
                <w:sz w:val="20"/>
              </w:rPr>
              <w:t>🗂  BREADCRUMB (add schema markup in CMS)</w:t>
            </w:r>
          </w:p>
          <w:p>
            <w:pPr>
              <w:spacing w:after="160"/>
            </w:pPr>
            <w:r>
              <w:rPr>
                <w:rFonts w:ascii="Arial" w:hAnsi="Arial"/>
                <w:color w:val="0A501E"/>
                <w:sz w:val="22"/>
              </w:rPr>
              <w:t>Home  ›  Blog  ›  VC Research  ›  Best Micro VCs in India Writing the First Cheque in 2026</w:t>
            </w:r>
          </w:p>
        </w:tc>
      </w:tr>
    </w:tbl>
    <w:p>
      <w:pPr>
        <w:spacing w:after="120"/>
      </w:pPr>
    </w:p>
    <w:tbl>
      <w:tblPr>
        <w:tblW w:type="auto" w:w="0"/>
        <w:jc w:val="center"/>
        <w:tblLook w:firstColumn="1" w:firstRow="1" w:lastColumn="0" w:lastRow="0" w:noHBand="0" w:noVBand="1" w:val="04A0"/>
      </w:tblPr>
      <w:tblGrid>
        <w:gridCol w:w="9360"/>
      </w:tblGrid>
      <w:tr>
        <w:tc>
          <w:tcPr>
            <w:tcW w:type="dxa" w:w="9360"/>
            <w:shd w:val="clear" w:color="auto" w:fill="E8F4FB"/>
            <w:tcBorders>
              <w:top w:val="single" w:sz="6" w:space="0" w:color="185FA5"/>
              <w:left w:val="single" w:sz="6" w:space="0" w:color="185FA5"/>
              <w:bottom w:val="single" w:sz="6" w:space="0" w:color="185FA5"/>
              <w:right w:val="single" w:sz="6" w:space="0" w:color="185FA5"/>
            </w:tcBorders>
          </w:tcPr>
          <w:p>
            <w:pPr>
              <w:spacing w:before="200"/>
              <w:jc w:val="center"/>
            </w:pPr>
            <w:r>
              <w:rPr>
                <w:rFonts w:ascii="Arial" w:hAnsi="Arial"/>
                <w:b/>
                <w:color w:val="185FA5"/>
                <w:sz w:val="22"/>
              </w:rPr>
              <w:t>📷  IMAGE 1 — HERO BANNER</w:t>
            </w:r>
          </w:p>
          <w:p>
            <w:pPr>
              <w:jc w:val="center"/>
            </w:pPr>
            <w:r>
              <w:rPr>
                <w:rFonts w:ascii="Arial" w:hAnsi="Arial"/>
                <w:color w:val="3C3C50"/>
                <w:sz w:val="20"/>
              </w:rPr>
              <w:t>Illustration: A single cheque being written, with India's map in the background.</w:t>
              <w:br/>
              <w:t>Overlay text: 'Best Micro VCs in India Writing the First Cheque in 2026'</w:t>
              <w:br/>
              <w:t>Sub-text: '250+ micro VC funds. Here are the 15 that matter most.'</w:t>
              <w:br/>
              <w:t>VC Dekho brand colours. Dimensions: 1200 × 630 px.</w:t>
            </w:r>
          </w:p>
          <w:p>
            <w:pPr>
              <w:spacing w:after="200"/>
              <w:jc w:val="center"/>
            </w:pPr>
            <w:r>
              <w:rPr>
                <w:rFonts w:ascii="Arial" w:hAnsi="Arial"/>
                <w:i/>
                <w:color w:val="78788C"/>
                <w:sz w:val="18"/>
              </w:rPr>
              <w:t>Alt text: "Best micro VC funds in India writing the first cheque for pre-seed startups in 2026"</w:t>
            </w:r>
          </w:p>
        </w:tc>
      </w:tr>
    </w:tbl>
    <w:p>
      <w:pPr>
        <w:spacing w:after="120"/>
      </w:pPr>
    </w:p>
    <w:p>
      <w:pPr>
        <w:pStyle w:val="Heading1"/>
        <w:spacing w:before="360" w:after="160"/>
      </w:pPr>
      <w:r>
        <w:rPr>
          <w:rFonts w:ascii="Arial" w:hAnsi="Arial"/>
          <w:b/>
          <w:color w:val="141428"/>
          <w:sz w:val="48"/>
        </w:rPr>
        <w:t>Best Micro VCs in India Writing the First Cheque in 2026</w:t>
      </w:r>
    </w:p>
    <w:p>
      <w:pPr>
        <w:spacing w:after="160" w:before="0"/>
        <w:jc w:val="left"/>
      </w:pPr>
      <w:r>
        <w:rPr>
          <w:rFonts w:ascii="Arial" w:hAnsi="Arial"/>
          <w:b w:val="0"/>
          <w:i w:val="0"/>
          <w:sz w:val="22"/>
        </w:rPr>
        <w:t>Getting your first institutional cheque is the hardest fundraise you will ever do. There is no ARR to point to, no Series A lead to shadow-validate, and no track record to lean on. It is just you, your conviction, and an investor who has to believe in both before anyone else does.</w:t>
      </w:r>
    </w:p>
    <w:p>
      <w:pPr>
        <w:spacing w:after="160" w:before="0"/>
        <w:jc w:val="left"/>
      </w:pPr>
      <w:r>
        <w:rPr>
          <w:rFonts w:ascii="Arial" w:hAnsi="Arial"/>
          <w:b/>
          <w:i w:val="0"/>
          <w:sz w:val="22"/>
        </w:rPr>
        <w:t>This is exactly where micro VCs come in.</w:t>
      </w:r>
    </w:p>
    <w:p>
      <w:pPr>
        <w:spacing w:after="160" w:before="0"/>
        <w:jc w:val="left"/>
      </w:pPr>
      <w:r>
        <w:rPr>
          <w:rFonts w:ascii="Arial" w:hAnsi="Arial"/>
          <w:b w:val="0"/>
          <w:i w:val="0"/>
          <w:sz w:val="22"/>
        </w:rPr>
        <w:t>India's micro VC ecosystem has grown from around 100 funds in 2022 to over 250 active funds as of early 2026 — a 2.5x expansion in under four years. Average fund sizes have matured from $10–12M to $25–30M, and the best funds are now on their second or third vehicle. Pre-seed capital has grown nearly 3x since 2020 and is the only funding stage to show consistent year-on-year growth through India's 2022–23 funding correction.</w:t>
      </w:r>
    </w:p>
    <w:p>
      <w:pPr>
        <w:spacing w:after="320" w:before="0"/>
        <w:jc w:val="left"/>
      </w:pPr>
      <w:r>
        <w:rPr>
          <w:rFonts w:ascii="Arial" w:hAnsi="Arial"/>
          <w:b w:val="0"/>
          <w:i w:val="0"/>
          <w:sz w:val="22"/>
        </w:rPr>
        <w:t>The problem for founders is not that first-cheque capital is scarce. It is that 250 funds all look identical from a LinkedIn profile. This guide cuts through that. We have selected the 15 most active and founder-validated micro VCs in India for 2026 — grouped by focus — with each fund's thesis, cheque range, and the specific approach that works for them.</w:t>
      </w:r>
    </w:p>
    <w:p>
      <w:pPr>
        <w:pBdr>
          <w:bottom w:val="single" w:sz="4" w:space="1" w:color="CCCCCC"/>
        </w:pBdr>
        <w:spacing w:after="200" w:before="200"/>
      </w:pPr>
    </w:p>
    <w:p>
      <w:pPr>
        <w:pStyle w:val="Heading2"/>
        <w:spacing w:before="360" w:after="160"/>
      </w:pPr>
      <w:r>
        <w:rPr>
          <w:rFonts w:ascii="Arial" w:hAnsi="Arial"/>
          <w:b/>
          <w:color w:val="141428"/>
          <w:sz w:val="34"/>
        </w:rPr>
        <w:t>What counts as a micro VC in India?</w:t>
      </w:r>
    </w:p>
    <w:p>
      <w:pPr>
        <w:spacing w:after="120" w:before="0"/>
        <w:jc w:val="left"/>
      </w:pPr>
      <w:r>
        <w:rPr>
          <w:rFonts w:ascii="Arial" w:hAnsi="Arial"/>
          <w:b w:val="0"/>
          <w:i w:val="0"/>
          <w:sz w:val="22"/>
        </w:rPr>
        <w:t>Not every small fund is a micro VC, and not every micro VC thinks of itself that way. For this guide, we use the definition that Blume Ventures — which has tracked the category closely since 2022 — established in their 2026 micro VC landscape report:</w:t>
      </w:r>
    </w:p>
    <w:p>
      <w:pPr>
        <w:pStyle w:val="ListBullet"/>
        <w:spacing w:after="80"/>
      </w:pPr>
      <w:r>
        <w:rPr>
          <w:rFonts w:ascii="Arial" w:hAnsi="Arial"/>
          <w:sz w:val="22"/>
        </w:rPr>
        <w:t>Micro VC: fund corpus under $40M. Typical initial cheque of $200K–$800K, taking 8–12% equity. Lean team, high conviction, limited or no follow-on reserves.</w:t>
      </w:r>
    </w:p>
    <w:p>
      <w:pPr>
        <w:pStyle w:val="ListBullet"/>
        <w:spacing w:after="80"/>
      </w:pPr>
      <w:r>
        <w:rPr>
          <w:rFonts w:ascii="Arial" w:hAnsi="Arial"/>
          <w:sz w:val="22"/>
        </w:rPr>
        <w:t>Early-stage fund: corpus of $40M–$100M. Initial cheque of $1M–$1.5M, taking 12–15% equity, with reserves for follow-on rounds.</w:t>
      </w:r>
    </w:p>
    <w:p>
      <w:pPr>
        <w:spacing w:after="160" w:before="0"/>
        <w:jc w:val="left"/>
      </w:pPr>
      <w:r>
        <w:rPr>
          <w:rFonts w:ascii="Arial" w:hAnsi="Arial"/>
          <w:b w:val="0"/>
          <w:i w:val="0"/>
          <w:sz w:val="22"/>
        </w:rPr>
        <w:t>Both categories are included in this guide because, from a founder's perspective, they both do the same job — writing the first institutional cheque before anyone else will. The distinction matters mainly for how much you can raise from them and whether they can lead your next round.</w:t>
      </w:r>
    </w:p>
    <w:tbl>
      <w:tblPr>
        <w:tblW w:type="auto" w:w="0"/>
        <w:jc w:val="center"/>
        <w:tblLook w:firstColumn="1" w:firstRow="1" w:lastColumn="0" w:lastRow="0" w:noHBand="0" w:noVBand="1" w:val="04A0"/>
      </w:tblPr>
      <w:tblGrid>
        <w:gridCol w:w="9360"/>
      </w:tblGrid>
      <w:tr>
        <w:tc>
          <w:tcPr>
            <w:tcW w:type="dxa" w:w="9360"/>
            <w:shd w:val="clear" w:color="auto" w:fill="FFF8F0"/>
            <w:tcBorders>
              <w:top w:val="single" w:sz="8" w:space="0" w:color="E67E22"/>
              <w:left w:val="single" w:sz="8" w:space="0" w:color="E67E22"/>
              <w:bottom w:val="single" w:sz="8" w:space="0" w:color="E67E22"/>
              <w:right w:val="single" w:sz="8" w:space="0" w:color="E67E22"/>
            </w:tcBorders>
          </w:tcPr>
          <w:p>
            <w:pPr>
              <w:spacing w:before="160"/>
            </w:pPr>
            <w:r>
              <w:rPr>
                <w:rFonts w:ascii="Arial" w:hAnsi="Arial"/>
                <w:b/>
                <w:color w:val="643200"/>
                <w:sz w:val="20"/>
              </w:rPr>
              <w:t>💡  Key insight from Blume's 2026 report</w:t>
            </w:r>
          </w:p>
          <w:p>
            <w:pPr>
              <w:spacing w:after="160"/>
            </w:pPr>
            <w:r>
              <w:rPr>
                <w:rFonts w:ascii="Arial" w:hAnsi="Arial"/>
                <w:color w:val="643200"/>
                <w:sz w:val="22"/>
              </w:rPr>
              <w:t>Fund size is not a proxy for what a fund can actually do for you. A $8M corpus fund that writes an $800K cheque in a single deal has more conviction than a $20M fund that caps at $500K. Understand the cheque size, whether they lead or follow, and whether they have reserves before you put them on your shortlist.</w:t>
            </w:r>
          </w:p>
        </w:tc>
      </w:tr>
    </w:tbl>
    <w:p>
      <w:pPr>
        <w:spacing w:after="120"/>
      </w:pPr>
    </w:p>
    <w:p>
      <w:pPr>
        <w:spacing w:after="120" w:before="0"/>
        <w:jc w:val="left"/>
      </w:pPr>
      <w:r>
        <w:rPr>
          <w:rFonts w:ascii="Arial" w:hAnsi="Arial"/>
          <w:b w:val="0"/>
          <w:i w:val="0"/>
          <w:sz w:val="22"/>
        </w:rPr>
      </w:r>
    </w:p>
    <w:p>
      <w:pPr>
        <w:pBdr>
          <w:bottom w:val="single" w:sz="4" w:space="1" w:color="CCCCCC"/>
        </w:pBdr>
        <w:spacing w:after="200" w:before="200"/>
      </w:pPr>
    </w:p>
    <w:tbl>
      <w:tblPr>
        <w:tblW w:type="auto" w:w="0"/>
        <w:jc w:val="center"/>
        <w:tblLook w:firstColumn="1" w:firstRow="1" w:lastColumn="0" w:lastRow="0" w:noHBand="0" w:noVBand="1" w:val="04A0"/>
      </w:tblPr>
      <w:tblGrid>
        <w:gridCol w:w="9360"/>
      </w:tblGrid>
      <w:tr>
        <w:tc>
          <w:tcPr>
            <w:tcW w:type="dxa" w:w="9360"/>
            <w:shd w:val="clear" w:color="auto" w:fill="E8F4FB"/>
            <w:tcBorders>
              <w:top w:val="single" w:sz="6" w:space="0" w:color="185FA5"/>
              <w:left w:val="single" w:sz="6" w:space="0" w:color="185FA5"/>
              <w:bottom w:val="single" w:sz="6" w:space="0" w:color="185FA5"/>
              <w:right w:val="single" w:sz="6" w:space="0" w:color="185FA5"/>
            </w:tcBorders>
          </w:tcPr>
          <w:p>
            <w:pPr>
              <w:spacing w:before="200"/>
              <w:jc w:val="center"/>
            </w:pPr>
            <w:r>
              <w:rPr>
                <w:rFonts w:ascii="Arial" w:hAnsi="Arial"/>
                <w:b/>
                <w:color w:val="185FA5"/>
                <w:sz w:val="22"/>
              </w:rPr>
              <w:t>📷  IMAGE 2 — INFOGRAPHIC: India Micro VC Ecosystem Growth 2020–2026</w:t>
            </w:r>
          </w:p>
          <w:p>
            <w:pPr>
              <w:jc w:val="center"/>
            </w:pPr>
            <w:r>
              <w:rPr>
                <w:rFonts w:ascii="Arial" w:hAnsi="Arial"/>
                <w:color w:val="3C3C50"/>
                <w:sz w:val="20"/>
              </w:rPr>
              <w:t>Bar chart or timeline: Number of active micro VC funds in India by year.</w:t>
              <w:br/>
              <w:t>Data points: 2020: ~50 funds | 2022: ~100 funds | 2024: ~200 funds | 2026: 250+ funds</w:t>
              <w:br/>
              <w:t>Second data layer: Average fund size: 2022 $10–12M → 2026 $25–30M</w:t>
              <w:br/>
              <w:t>Source: IVCA / Blume Ventures 2026 report. VC Dekho branded. Dimensions: 900 × 500 px.</w:t>
            </w:r>
          </w:p>
          <w:p>
            <w:pPr>
              <w:spacing w:after="200"/>
              <w:jc w:val="center"/>
            </w:pPr>
            <w:r>
              <w:rPr>
                <w:rFonts w:ascii="Arial" w:hAnsi="Arial"/>
                <w:i/>
                <w:color w:val="78788C"/>
                <w:sz w:val="18"/>
              </w:rPr>
              <w:t>Alt text: "India micro VC ecosystem growth from 2020 to 2026 — number of active funds and average fund size"</w:t>
            </w:r>
          </w:p>
        </w:tc>
      </w:tr>
    </w:tbl>
    <w:p>
      <w:pPr>
        <w:spacing w:after="120"/>
      </w:pPr>
    </w:p>
    <w:p>
      <w:pPr>
        <w:pStyle w:val="Heading2"/>
        <w:spacing w:before="360" w:after="160"/>
      </w:pPr>
      <w:r>
        <w:rPr>
          <w:rFonts w:ascii="Arial" w:hAnsi="Arial"/>
          <w:b/>
          <w:color w:val="141428"/>
          <w:sz w:val="34"/>
        </w:rPr>
        <w:t>The 15 best micro VCs in India for 2026</w:t>
      </w:r>
    </w:p>
    <w:p>
      <w:pPr>
        <w:spacing w:after="200" w:before="0"/>
        <w:jc w:val="left"/>
      </w:pPr>
      <w:r>
        <w:rPr>
          <w:rFonts w:ascii="Arial" w:hAnsi="Arial"/>
          <w:b w:val="0"/>
          <w:i w:val="0"/>
          <w:sz w:val="22"/>
        </w:rPr>
        <w:t>We have organised this list into four categories that reflect how the micro VC market has specialised in 2026. Knowing which category applies to your startup is the fastest way to shortlist the right 4 to 5 funds before you start outreach.</w:t>
      </w:r>
    </w:p>
    <w:tbl>
      <w:tblPr>
        <w:tblW w:type="auto" w:w="0"/>
        <w:jc w:val="center"/>
        <w:tblLook w:firstColumn="1" w:firstRow="1" w:lastColumn="0" w:lastRow="0" w:noHBand="0" w:noVBand="1" w:val="04A0"/>
      </w:tblPr>
      <w:tblGrid>
        <w:gridCol w:w="4680"/>
        <w:gridCol w:w="4680"/>
      </w:tblGrid>
      <w:tr>
        <w:tc>
          <w:tcPr>
            <w:tcW w:type="dxa" w:w="4680"/>
            <w:shd w:val="clear" w:color="auto" w:fill="F0F4FF"/>
            <w:tcBorders>
              <w:top w:val="single" w:sz="4" w:space="0" w:color="3B6DC8"/>
              <w:left w:val="single" w:sz="4" w:space="0" w:color="3B6DC8"/>
              <w:bottom w:val="single" w:sz="4" w:space="0" w:color="3B6DC8"/>
              <w:right w:val="single" w:sz="4" w:space="0" w:color="3B6DC8"/>
            </w:tcBorders>
            <w:tcW w:w="4500" w:type="dxa"/>
            <w:vAlign w:val="center"/>
          </w:tcPr>
          <w:p>
            <w:pPr>
              <w:spacing w:before="160"/>
            </w:pPr>
            <w:r>
              <w:rPr>
                <w:rFonts w:ascii="Arial" w:hAnsi="Arial"/>
                <w:b/>
                <w:sz w:val="22"/>
              </w:rPr>
              <w:t>Category A — Sector-agnostic, founder-first funds</w:t>
            </w:r>
          </w:p>
          <w:p>
            <w:pPr>
              <w:spacing w:after="160"/>
            </w:pPr>
            <w:r>
              <w:rPr>
                <w:rFonts w:ascii="Arial" w:hAnsi="Arial"/>
                <w:sz w:val="20"/>
              </w:rPr>
              <w:t>Funds 1–5</w:t>
            </w:r>
          </w:p>
        </w:tc>
        <w:tc>
          <w:tcPr>
            <w:tcW w:type="dxa" w:w="4680"/>
            <w:shd w:val="clear" w:color="auto" w:fill="F0FDF4"/>
            <w:tcBorders>
              <w:top w:val="single" w:sz="4" w:space="0" w:color="22A55E"/>
              <w:left w:val="single" w:sz="4" w:space="0" w:color="22A55E"/>
              <w:bottom w:val="single" w:sz="4" w:space="0" w:color="22A55E"/>
              <w:right w:val="single" w:sz="4" w:space="0" w:color="22A55E"/>
            </w:tcBorders>
            <w:tcW w:w="4500" w:type="dxa"/>
            <w:vAlign w:val="center"/>
          </w:tcPr>
          <w:p>
            <w:pPr>
              <w:spacing w:before="160"/>
            </w:pPr>
            <w:r>
              <w:rPr>
                <w:rFonts w:ascii="Arial" w:hAnsi="Arial"/>
                <w:b/>
                <w:sz w:val="22"/>
              </w:rPr>
              <w:t>Category B — SaaS, AI and B2B focused funds</w:t>
            </w:r>
          </w:p>
          <w:p>
            <w:pPr>
              <w:spacing w:after="160"/>
            </w:pPr>
            <w:r>
              <w:rPr>
                <w:rFonts w:ascii="Arial" w:hAnsi="Arial"/>
                <w:sz w:val="20"/>
              </w:rPr>
              <w:t>Funds 6–9</w:t>
            </w:r>
          </w:p>
        </w:tc>
      </w:tr>
      <w:tr>
        <w:tc>
          <w:tcPr>
            <w:tcW w:type="dxa" w:w="4680"/>
            <w:shd w:val="clear" w:color="auto" w:fill="FFF8F0"/>
            <w:tcBorders>
              <w:top w:val="single" w:sz="4" w:space="0" w:color="E67E22"/>
              <w:left w:val="single" w:sz="4" w:space="0" w:color="E67E22"/>
              <w:bottom w:val="single" w:sz="4" w:space="0" w:color="E67E22"/>
              <w:right w:val="single" w:sz="4" w:space="0" w:color="E67E22"/>
            </w:tcBorders>
            <w:tcW w:w="4500" w:type="dxa"/>
            <w:vAlign w:val="center"/>
          </w:tcPr>
          <w:p>
            <w:pPr>
              <w:spacing w:before="160"/>
            </w:pPr>
            <w:r>
              <w:rPr>
                <w:rFonts w:ascii="Arial" w:hAnsi="Arial"/>
                <w:b/>
                <w:sz w:val="22"/>
              </w:rPr>
              <w:t>Category C — Consumer, D2C and Bharat funds</w:t>
            </w:r>
          </w:p>
          <w:p>
            <w:pPr>
              <w:spacing w:after="160"/>
            </w:pPr>
            <w:r>
              <w:rPr>
                <w:rFonts w:ascii="Arial" w:hAnsi="Arial"/>
                <w:sz w:val="20"/>
              </w:rPr>
              <w:t>Funds 10–12</w:t>
            </w:r>
          </w:p>
        </w:tc>
        <w:tc>
          <w:tcPr>
            <w:tcW w:type="dxa" w:w="4680"/>
            <w:shd w:val="clear" w:color="auto" w:fill="F5F0FF"/>
            <w:tcBorders>
              <w:top w:val="single" w:sz="4" w:space="0" w:color="7C3AED"/>
              <w:left w:val="single" w:sz="4" w:space="0" w:color="7C3AED"/>
              <w:bottom w:val="single" w:sz="4" w:space="0" w:color="7C3AED"/>
              <w:right w:val="single" w:sz="4" w:space="0" w:color="7C3AED"/>
            </w:tcBorders>
            <w:tcW w:w="4500" w:type="dxa"/>
            <w:vAlign w:val="center"/>
          </w:tcPr>
          <w:p>
            <w:pPr>
              <w:spacing w:before="160"/>
            </w:pPr>
            <w:r>
              <w:rPr>
                <w:rFonts w:ascii="Arial" w:hAnsi="Arial"/>
                <w:b/>
                <w:sz w:val="22"/>
              </w:rPr>
              <w:t>Category D — DeepTech, Defence and Science funds</w:t>
            </w:r>
          </w:p>
          <w:p>
            <w:pPr>
              <w:spacing w:after="160"/>
            </w:pPr>
            <w:r>
              <w:rPr>
                <w:rFonts w:ascii="Arial" w:hAnsi="Arial"/>
                <w:sz w:val="20"/>
              </w:rPr>
              <w:t>Funds 13–15</w:t>
            </w:r>
          </w:p>
        </w:tc>
      </w:tr>
    </w:tbl>
    <w:p>
      <w:pPr>
        <w:spacing w:after="240"/>
      </w:pPr>
    </w:p>
    <w:p>
      <w:pPr>
        <w:pStyle w:val="Heading2"/>
        <w:spacing w:before="360" w:after="160"/>
      </w:pPr>
      <w:r>
        <w:rPr>
          <w:rFonts w:ascii="Arial" w:hAnsi="Arial"/>
          <w:b/>
          <w:color w:val="1E3CA0"/>
          <w:sz w:val="34"/>
        </w:rPr>
        <w:t>Category A — Sector-agnostic, founder-first funds</w:t>
      </w:r>
    </w:p>
    <w:p>
      <w:pPr>
        <w:pStyle w:val="Heading3"/>
        <w:spacing w:before="200" w:after="120"/>
      </w:pPr>
      <w:r>
        <w:rPr>
          <w:rFonts w:ascii="Arial" w:hAnsi="Arial"/>
          <w:b/>
          <w:color w:val="142864"/>
          <w:sz w:val="26"/>
        </w:rPr>
        <w:t>1. Better Capital</w:t>
      </w: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F0F4FF"/>
            <w:tcW w:w="1600" w:type="dxa"/>
            <w:tcBorders>
              <w:top w:val="single" w:sz="2" w:space="0" w:color="C5D0E8"/>
              <w:left w:val="single" w:sz="2" w:space="0" w:color="C5D0E8"/>
              <w:bottom w:val="single" w:sz="2" w:space="0" w:color="C5D0E8"/>
              <w:right w:val="single" w:sz="2" w:space="0" w:color="C5D0E8"/>
            </w:tcBorders>
            <w:vAlign w:val="center"/>
          </w:tcPr>
          <w:p>
            <w:pPr>
              <w:spacing w:before="80" w:after="80"/>
            </w:pPr>
            <w:r>
              <w:rPr>
                <w:rFonts w:ascii="Arial" w:hAnsi="Arial"/>
                <w:b/>
                <w:color w:val="5064A0"/>
                <w:sz w:val="16"/>
              </w:rPr>
              <w:t>🏢 HQ</w:t>
              <w:br/>
            </w:r>
            <w:r>
              <w:rPr>
                <w:rFonts w:ascii="Arial" w:hAnsi="Arial"/>
                <w:color w:val="141E3C"/>
                <w:sz w:val="18"/>
              </w:rPr>
              <w:t>Bengaluru</w:t>
            </w:r>
          </w:p>
        </w:tc>
        <w:tc>
          <w:tcPr>
            <w:tcW w:type="dxa" w:w="2340"/>
            <w:shd w:val="clear" w:color="auto" w:fill="F0F4FF"/>
            <w:tcW w:w="1700" w:type="dxa"/>
            <w:tcBorders>
              <w:top w:val="single" w:sz="2" w:space="0" w:color="C5D0E8"/>
              <w:left w:val="single" w:sz="2" w:space="0" w:color="C5D0E8"/>
              <w:bottom w:val="single" w:sz="2" w:space="0" w:color="C5D0E8"/>
              <w:right w:val="single" w:sz="2" w:space="0" w:color="C5D0E8"/>
            </w:tcBorders>
            <w:vAlign w:val="center"/>
          </w:tcPr>
          <w:p>
            <w:pPr>
              <w:spacing w:before="80" w:after="80"/>
            </w:pPr>
            <w:r>
              <w:rPr>
                <w:rFonts w:ascii="Arial" w:hAnsi="Arial"/>
                <w:b/>
                <w:color w:val="5064A0"/>
                <w:sz w:val="16"/>
              </w:rPr>
              <w:t>📈 Stage</w:t>
              <w:br/>
            </w:r>
            <w:r>
              <w:rPr>
                <w:rFonts w:ascii="Arial" w:hAnsi="Arial"/>
                <w:color w:val="141E3C"/>
                <w:sz w:val="18"/>
              </w:rPr>
              <w:t>Pre-seed to Seed</w:t>
            </w:r>
          </w:p>
        </w:tc>
        <w:tc>
          <w:tcPr>
            <w:tcW w:type="dxa" w:w="2340"/>
            <w:shd w:val="clear" w:color="auto" w:fill="F0F4FF"/>
            <w:tcW w:w="1800" w:type="dxa"/>
            <w:tcBorders>
              <w:top w:val="single" w:sz="2" w:space="0" w:color="C5D0E8"/>
              <w:left w:val="single" w:sz="2" w:space="0" w:color="C5D0E8"/>
              <w:bottom w:val="single" w:sz="2" w:space="0" w:color="C5D0E8"/>
              <w:right w:val="single" w:sz="2" w:space="0" w:color="C5D0E8"/>
            </w:tcBorders>
            <w:vAlign w:val="center"/>
          </w:tcPr>
          <w:p>
            <w:pPr>
              <w:spacing w:before="80" w:after="80"/>
            </w:pPr>
            <w:r>
              <w:rPr>
                <w:rFonts w:ascii="Arial" w:hAnsi="Arial"/>
                <w:b/>
                <w:color w:val="5064A0"/>
                <w:sz w:val="16"/>
              </w:rPr>
              <w:t>💰 Cheque</w:t>
              <w:br/>
            </w:r>
            <w:r>
              <w:rPr>
                <w:rFonts w:ascii="Arial" w:hAnsi="Arial"/>
                <w:color w:val="141E3C"/>
                <w:sz w:val="18"/>
              </w:rPr>
              <w:t>$100K – $2M</w:t>
            </w:r>
          </w:p>
        </w:tc>
        <w:tc>
          <w:tcPr>
            <w:tcW w:type="dxa" w:w="2340"/>
            <w:shd w:val="clear" w:color="auto" w:fill="F0F4FF"/>
            <w:tcW w:w="3860" w:type="dxa"/>
            <w:tcBorders>
              <w:top w:val="single" w:sz="2" w:space="0" w:color="C5D0E8"/>
              <w:left w:val="single" w:sz="2" w:space="0" w:color="C5D0E8"/>
              <w:bottom w:val="single" w:sz="2" w:space="0" w:color="C5D0E8"/>
              <w:right w:val="single" w:sz="2" w:space="0" w:color="C5D0E8"/>
            </w:tcBorders>
            <w:vAlign w:val="center"/>
          </w:tcPr>
          <w:p>
            <w:pPr>
              <w:spacing w:before="80" w:after="80"/>
            </w:pPr>
            <w:r>
              <w:rPr>
                <w:rFonts w:ascii="Arial" w:hAnsi="Arial"/>
                <w:b/>
                <w:color w:val="5064A0"/>
                <w:sz w:val="16"/>
              </w:rPr>
              <w:t>🏦 Fund size</w:t>
              <w:br/>
            </w:r>
            <w:r>
              <w:rPr>
                <w:rFonts w:ascii="Arial" w:hAnsi="Arial"/>
                <w:color w:val="141E3C"/>
                <w:sz w:val="18"/>
              </w:rPr>
              <w:t>$160M+ across funds (Fund III active)</w:t>
            </w:r>
          </w:p>
        </w:tc>
      </w:tr>
    </w:tbl>
    <w:p>
      <w:pPr>
        <w:spacing w:after="80"/>
      </w:pPr>
    </w:p>
    <w:p>
      <w:pPr>
        <w:spacing w:after="80" w:before="0"/>
        <w:jc w:val="left"/>
      </w:pPr>
      <w:r>
        <w:rPr>
          <w:rFonts w:ascii="Arial" w:hAnsi="Arial"/>
          <w:b/>
          <w:i w:val="0"/>
          <w:color w:val="283C78"/>
          <w:sz w:val="20"/>
        </w:rPr>
        <w:t>Sectors: Sector agnostic — backs founder conviction across all categories</w:t>
      </w:r>
    </w:p>
    <w:p>
      <w:pPr>
        <w:spacing w:after="120" w:before="0"/>
        <w:jc w:val="left"/>
      </w:pPr>
      <w:r>
        <w:rPr>
          <w:rFonts w:ascii="Arial" w:hAnsi="Arial"/>
          <w:b w:val="0"/>
          <w:i/>
          <w:color w:val="505064"/>
          <w:sz w:val="20"/>
        </w:rPr>
        <w:t>Notable portfolio: Classplus, Teachmint, Jar, Virtually, Contractzy</w:t>
      </w:r>
    </w:p>
    <w:p>
      <w:pPr>
        <w:spacing w:after="40" w:before="0"/>
        <w:jc w:val="left"/>
      </w:pPr>
      <w:r>
        <w:rPr>
          <w:rFonts w:ascii="Arial" w:hAnsi="Arial"/>
          <w:b/>
          <w:i w:val="0"/>
          <w:color w:val="3C3C50"/>
          <w:sz w:val="20"/>
        </w:rPr>
        <w:t>Investment thesis</w:t>
      </w:r>
    </w:p>
    <w:p>
      <w:pPr>
        <w:spacing w:after="120" w:before="0"/>
        <w:jc w:val="left"/>
      </w:pPr>
      <w:r>
        <w:rPr>
          <w:rFonts w:ascii="Arial" w:hAnsi="Arial"/>
          <w:b w:val="0"/>
          <w:i w:val="0"/>
          <w:sz w:val="22"/>
        </w:rPr>
        <w:t>Better Capital has built its identity around being the first fund a founder calls — not the last. Founder Vaibhav Domkundwar describes their model as 'radical accessibility': they respond fast, decide with conviction, and stay close through the messy early months when most investors go quiet. With 157+ portfolio companies and 8 new investments in the last 12 months alone, they are one of the most consistently active first-cheque writers in India.</w:t>
      </w:r>
    </w:p>
    <w:p>
      <w:pPr>
        <w:spacing w:after="40" w:before="0"/>
        <w:jc w:val="left"/>
      </w:pPr>
      <w:r>
        <w:rPr>
          <w:rFonts w:ascii="Arial" w:hAnsi="Arial"/>
          <w:b/>
          <w:i w:val="0"/>
          <w:color w:val="3C3C50"/>
          <w:sz w:val="20"/>
        </w:rPr>
        <w:t>How to approach</w:t>
      </w:r>
    </w:p>
    <w:p>
      <w:pPr>
        <w:spacing w:after="120" w:before="0"/>
        <w:jc w:val="left"/>
      </w:pPr>
      <w:r>
        <w:rPr>
          <w:rFonts w:ascii="Arial" w:hAnsi="Arial"/>
          <w:b w:val="0"/>
          <w:i w:val="0"/>
          <w:sz w:val="22"/>
        </w:rPr>
        <w:t>Vaibhav Domkundwar is extremely accessible on Twitter/X and LinkedIn. A well-crafted, concise cold DM that shows genuine insight into your problem — not a deck attachment — is the most effective entry point. They respond fast. If you do not hear back within a week, a single polite follow-up is fine.</w:t>
      </w:r>
    </w:p>
    <w:tbl>
      <w:tblPr>
        <w:tblW w:type="auto" w:w="0"/>
        <w:jc w:val="center"/>
        <w:tblLook w:firstColumn="1" w:firstRow="1" w:lastColumn="0" w:lastRow="0" w:noHBand="0" w:noVBand="1" w:val="04A0"/>
      </w:tblPr>
      <w:tblGrid>
        <w:gridCol w:w="9360"/>
      </w:tblGrid>
      <w:tr>
        <w:tc>
          <w:tcPr>
            <w:tcW w:type="dxa" w:w="9360"/>
            <w:shd w:val="clear" w:color="auto" w:fill="E8F5E9"/>
            <w:tcBorders>
              <w:top w:val="single" w:sz="6" w:space="0" w:color="4CAF50"/>
              <w:left w:val="single" w:sz="6" w:space="0" w:color="4CAF50"/>
              <w:bottom w:val="single" w:sz="6" w:space="0" w:color="4CAF50"/>
              <w:right w:val="single" w:sz="6" w:space="0" w:color="4CAF50"/>
            </w:tcBorders>
          </w:tcPr>
          <w:p>
            <w:pPr>
              <w:spacing w:before="120" w:after="120"/>
            </w:pPr>
            <w:r>
              <w:rPr>
                <w:rFonts w:ascii="Arial" w:hAnsi="Arial"/>
                <w:b/>
                <w:color w:val="14501E"/>
                <w:sz w:val="20"/>
              </w:rPr>
              <w:t xml:space="preserve">✅  Best for: </w:t>
            </w:r>
            <w:r>
              <w:rPr>
                <w:rFonts w:ascii="Arial" w:hAnsi="Arial"/>
                <w:color w:val="14501E"/>
                <w:sz w:val="22"/>
              </w:rPr>
              <w:t>First-time founders across any sector who have strong conviction and early user signal, but are not yet at a stage where larger seed funds will engage.</w:t>
            </w:r>
          </w:p>
        </w:tc>
      </w:tr>
    </w:tbl>
    <w:p>
      <w:pPr>
        <w:spacing w:after="120"/>
      </w:pPr>
    </w:p>
    <w:p>
      <w:pPr>
        <w:pStyle w:val="Heading3"/>
        <w:spacing w:before="200" w:after="120"/>
      </w:pPr>
      <w:r>
        <w:rPr>
          <w:rFonts w:ascii="Arial" w:hAnsi="Arial"/>
          <w:b/>
          <w:color w:val="142864"/>
          <w:sz w:val="26"/>
        </w:rPr>
        <w:t>2. Titan Capital</w:t>
      </w: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F0F4FF"/>
            <w:tcW w:w="1600" w:type="dxa"/>
            <w:tcBorders>
              <w:top w:val="single" w:sz="2" w:space="0" w:color="C5D0E8"/>
              <w:left w:val="single" w:sz="2" w:space="0" w:color="C5D0E8"/>
              <w:bottom w:val="single" w:sz="2" w:space="0" w:color="C5D0E8"/>
              <w:right w:val="single" w:sz="2" w:space="0" w:color="C5D0E8"/>
            </w:tcBorders>
            <w:vAlign w:val="center"/>
          </w:tcPr>
          <w:p>
            <w:pPr>
              <w:spacing w:before="80" w:after="80"/>
            </w:pPr>
            <w:r>
              <w:rPr>
                <w:rFonts w:ascii="Arial" w:hAnsi="Arial"/>
                <w:b/>
                <w:color w:val="5064A0"/>
                <w:sz w:val="16"/>
              </w:rPr>
              <w:t>🏢 HQ</w:t>
              <w:br/>
            </w:r>
            <w:r>
              <w:rPr>
                <w:rFonts w:ascii="Arial" w:hAnsi="Arial"/>
                <w:color w:val="141E3C"/>
                <w:sz w:val="18"/>
              </w:rPr>
              <w:t>Gurugram (Delhi NCR)</w:t>
            </w:r>
          </w:p>
        </w:tc>
        <w:tc>
          <w:tcPr>
            <w:tcW w:type="dxa" w:w="2340"/>
            <w:shd w:val="clear" w:color="auto" w:fill="F0F4FF"/>
            <w:tcW w:w="1700" w:type="dxa"/>
            <w:tcBorders>
              <w:top w:val="single" w:sz="2" w:space="0" w:color="C5D0E8"/>
              <w:left w:val="single" w:sz="2" w:space="0" w:color="C5D0E8"/>
              <w:bottom w:val="single" w:sz="2" w:space="0" w:color="C5D0E8"/>
              <w:right w:val="single" w:sz="2" w:space="0" w:color="C5D0E8"/>
            </w:tcBorders>
            <w:vAlign w:val="center"/>
          </w:tcPr>
          <w:p>
            <w:pPr>
              <w:spacing w:before="80" w:after="80"/>
            </w:pPr>
            <w:r>
              <w:rPr>
                <w:rFonts w:ascii="Arial" w:hAnsi="Arial"/>
                <w:b/>
                <w:color w:val="5064A0"/>
                <w:sz w:val="16"/>
              </w:rPr>
              <w:t>📈 Stage</w:t>
              <w:br/>
            </w:r>
            <w:r>
              <w:rPr>
                <w:rFonts w:ascii="Arial" w:hAnsi="Arial"/>
                <w:color w:val="141E3C"/>
                <w:sz w:val="18"/>
              </w:rPr>
              <w:t>Pre-seed to Seed</w:t>
            </w:r>
          </w:p>
        </w:tc>
        <w:tc>
          <w:tcPr>
            <w:tcW w:type="dxa" w:w="2340"/>
            <w:shd w:val="clear" w:color="auto" w:fill="F0F4FF"/>
            <w:tcW w:w="1800" w:type="dxa"/>
            <w:tcBorders>
              <w:top w:val="single" w:sz="2" w:space="0" w:color="C5D0E8"/>
              <w:left w:val="single" w:sz="2" w:space="0" w:color="C5D0E8"/>
              <w:bottom w:val="single" w:sz="2" w:space="0" w:color="C5D0E8"/>
              <w:right w:val="single" w:sz="2" w:space="0" w:color="C5D0E8"/>
            </w:tcBorders>
            <w:vAlign w:val="center"/>
          </w:tcPr>
          <w:p>
            <w:pPr>
              <w:spacing w:before="80" w:after="80"/>
            </w:pPr>
            <w:r>
              <w:rPr>
                <w:rFonts w:ascii="Arial" w:hAnsi="Arial"/>
                <w:b/>
                <w:color w:val="5064A0"/>
                <w:sz w:val="16"/>
              </w:rPr>
              <w:t>💰 Cheque</w:t>
              <w:br/>
            </w:r>
            <w:r>
              <w:rPr>
                <w:rFonts w:ascii="Arial" w:hAnsi="Arial"/>
                <w:color w:val="141E3C"/>
                <w:sz w:val="18"/>
              </w:rPr>
              <w:t>$100K – $1.5M</w:t>
            </w:r>
          </w:p>
        </w:tc>
        <w:tc>
          <w:tcPr>
            <w:tcW w:type="dxa" w:w="2340"/>
            <w:shd w:val="clear" w:color="auto" w:fill="F0F4FF"/>
            <w:tcW w:w="3860" w:type="dxa"/>
            <w:tcBorders>
              <w:top w:val="single" w:sz="2" w:space="0" w:color="C5D0E8"/>
              <w:left w:val="single" w:sz="2" w:space="0" w:color="C5D0E8"/>
              <w:bottom w:val="single" w:sz="2" w:space="0" w:color="C5D0E8"/>
              <w:right w:val="single" w:sz="2" w:space="0" w:color="C5D0E8"/>
            </w:tcBorders>
            <w:vAlign w:val="center"/>
          </w:tcPr>
          <w:p>
            <w:pPr>
              <w:spacing w:before="80" w:after="80"/>
            </w:pPr>
            <w:r>
              <w:rPr>
                <w:rFonts w:ascii="Arial" w:hAnsi="Arial"/>
                <w:b/>
                <w:color w:val="5064A0"/>
                <w:sz w:val="16"/>
              </w:rPr>
              <w:t>🏦 Fund size</w:t>
              <w:br/>
            </w:r>
            <w:r>
              <w:rPr>
                <w:rFonts w:ascii="Arial" w:hAnsi="Arial"/>
                <w:color w:val="141E3C"/>
                <w:sz w:val="18"/>
              </w:rPr>
              <w:t>Family office of Snapdeal founders — 200+ investments</w:t>
            </w:r>
          </w:p>
        </w:tc>
      </w:tr>
    </w:tbl>
    <w:p>
      <w:pPr>
        <w:spacing w:after="80"/>
      </w:pPr>
    </w:p>
    <w:p>
      <w:pPr>
        <w:spacing w:after="80" w:before="0"/>
        <w:jc w:val="left"/>
      </w:pPr>
      <w:r>
        <w:rPr>
          <w:rFonts w:ascii="Arial" w:hAnsi="Arial"/>
          <w:b/>
          <w:i w:val="0"/>
          <w:color w:val="283C78"/>
          <w:sz w:val="20"/>
        </w:rPr>
        <w:t>Sectors: Consumer tech, SaaS, D2C, B2B — sector agnostic in practice</w:t>
      </w:r>
    </w:p>
    <w:p>
      <w:pPr>
        <w:spacing w:after="120" w:before="0"/>
        <w:jc w:val="left"/>
      </w:pPr>
      <w:r>
        <w:rPr>
          <w:rFonts w:ascii="Arial" w:hAnsi="Arial"/>
          <w:b w:val="0"/>
          <w:i/>
          <w:color w:val="505064"/>
          <w:sz w:val="20"/>
        </w:rPr>
        <w:t>Notable portfolio: Mamaearth (early), Bombay Shaving Company, SUGAR Cosmetics (early), Open (early)</w:t>
      </w:r>
    </w:p>
    <w:p>
      <w:pPr>
        <w:spacing w:after="40" w:before="0"/>
        <w:jc w:val="left"/>
      </w:pPr>
      <w:r>
        <w:rPr>
          <w:rFonts w:ascii="Arial" w:hAnsi="Arial"/>
          <w:b/>
          <w:i w:val="0"/>
          <w:color w:val="3C3C50"/>
          <w:sz w:val="20"/>
        </w:rPr>
        <w:t>Investment thesis</w:t>
      </w:r>
    </w:p>
    <w:p>
      <w:pPr>
        <w:spacing w:after="120" w:before="0"/>
        <w:jc w:val="left"/>
      </w:pPr>
      <w:r>
        <w:rPr>
          <w:rFonts w:ascii="Arial" w:hAnsi="Arial"/>
          <w:b w:val="0"/>
          <w:i w:val="0"/>
          <w:sz w:val="22"/>
        </w:rPr>
        <w:t>Titan Capital operates with the speed of an angel and the conviction of a VC. Founded by Snapdeal's Kunal Bahl and Rohit Bansal, Titan has built a reputation for being the first 'yes' a startup receives — and for making that decision remarkably fast. They value founder authenticity over polish, and have an eye for consumer and D2C opportunities that most Delhi NCR funds miss.</w:t>
      </w:r>
    </w:p>
    <w:p>
      <w:pPr>
        <w:spacing w:after="40" w:before="0"/>
        <w:jc w:val="left"/>
      </w:pPr>
      <w:r>
        <w:rPr>
          <w:rFonts w:ascii="Arial" w:hAnsi="Arial"/>
          <w:b/>
          <w:i w:val="0"/>
          <w:color w:val="3C3C50"/>
          <w:sz w:val="20"/>
        </w:rPr>
        <w:t>How to approach</w:t>
      </w:r>
    </w:p>
    <w:p>
      <w:pPr>
        <w:spacing w:after="120" w:before="0"/>
        <w:jc w:val="left"/>
      </w:pPr>
      <w:r>
        <w:rPr>
          <w:rFonts w:ascii="Arial" w:hAnsi="Arial"/>
          <w:b w:val="0"/>
          <w:i w:val="0"/>
          <w:sz w:val="22"/>
        </w:rPr>
        <w:t>Titan has a direct pitch submission form on their website that is actively monitored. Keep your submission honest and specific — what you are building, why you are the right person to build it, and what you have learned so far. Kunal Bahl has said publicly he prefers founders who are clear about what they do not know yet.</w:t>
      </w:r>
    </w:p>
    <w:tbl>
      <w:tblPr>
        <w:tblW w:type="auto" w:w="0"/>
        <w:jc w:val="center"/>
        <w:tblLook w:firstColumn="1" w:firstRow="1" w:lastColumn="0" w:lastRow="0" w:noHBand="0" w:noVBand="1" w:val="04A0"/>
      </w:tblPr>
      <w:tblGrid>
        <w:gridCol w:w="9360"/>
      </w:tblGrid>
      <w:tr>
        <w:tc>
          <w:tcPr>
            <w:tcW w:type="dxa" w:w="9360"/>
            <w:shd w:val="clear" w:color="auto" w:fill="E8F5E9"/>
            <w:tcBorders>
              <w:top w:val="single" w:sz="6" w:space="0" w:color="4CAF50"/>
              <w:left w:val="single" w:sz="6" w:space="0" w:color="4CAF50"/>
              <w:bottom w:val="single" w:sz="6" w:space="0" w:color="4CAF50"/>
              <w:right w:val="single" w:sz="6" w:space="0" w:color="4CAF50"/>
            </w:tcBorders>
          </w:tcPr>
          <w:p>
            <w:pPr>
              <w:spacing w:before="120" w:after="120"/>
            </w:pPr>
            <w:r>
              <w:rPr>
                <w:rFonts w:ascii="Arial" w:hAnsi="Arial"/>
                <w:b/>
                <w:color w:val="14501E"/>
                <w:sz w:val="20"/>
              </w:rPr>
              <w:t xml:space="preserve">✅  Best for: </w:t>
            </w:r>
            <w:r>
              <w:rPr>
                <w:rFonts w:ascii="Arial" w:hAnsi="Arial"/>
                <w:color w:val="14501E"/>
                <w:sz w:val="22"/>
              </w:rPr>
              <w:t>Founders in consumer, D2C, or B2B who want a fast decision from an investor with deep operational startup experience at their back.</w:t>
            </w:r>
          </w:p>
        </w:tc>
      </w:tr>
    </w:tbl>
    <w:p>
      <w:pPr>
        <w:spacing w:after="120"/>
      </w:pPr>
    </w:p>
    <w:p>
      <w:pPr>
        <w:pStyle w:val="Heading3"/>
        <w:spacing w:before="200" w:after="120"/>
      </w:pPr>
      <w:r>
        <w:rPr>
          <w:rFonts w:ascii="Arial" w:hAnsi="Arial"/>
          <w:b/>
          <w:color w:val="142864"/>
          <w:sz w:val="26"/>
        </w:rPr>
        <w:t>3. Whiteboard Capital</w:t>
      </w: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F0F4FF"/>
            <w:tcW w:w="1600" w:type="dxa"/>
            <w:tcBorders>
              <w:top w:val="single" w:sz="2" w:space="0" w:color="C5D0E8"/>
              <w:left w:val="single" w:sz="2" w:space="0" w:color="C5D0E8"/>
              <w:bottom w:val="single" w:sz="2" w:space="0" w:color="C5D0E8"/>
              <w:right w:val="single" w:sz="2" w:space="0" w:color="C5D0E8"/>
            </w:tcBorders>
            <w:vAlign w:val="center"/>
          </w:tcPr>
          <w:p>
            <w:pPr>
              <w:spacing w:before="80" w:after="80"/>
            </w:pPr>
            <w:r>
              <w:rPr>
                <w:rFonts w:ascii="Arial" w:hAnsi="Arial"/>
                <w:b/>
                <w:color w:val="5064A0"/>
                <w:sz w:val="16"/>
              </w:rPr>
              <w:t>🏢 HQ</w:t>
              <w:br/>
            </w:r>
            <w:r>
              <w:rPr>
                <w:rFonts w:ascii="Arial" w:hAnsi="Arial"/>
                <w:color w:val="141E3C"/>
                <w:sz w:val="18"/>
              </w:rPr>
              <w:t>Bengaluru</w:t>
            </w:r>
          </w:p>
        </w:tc>
        <w:tc>
          <w:tcPr>
            <w:tcW w:type="dxa" w:w="2340"/>
            <w:shd w:val="clear" w:color="auto" w:fill="F0F4FF"/>
            <w:tcW w:w="1700" w:type="dxa"/>
            <w:tcBorders>
              <w:top w:val="single" w:sz="2" w:space="0" w:color="C5D0E8"/>
              <w:left w:val="single" w:sz="2" w:space="0" w:color="C5D0E8"/>
              <w:bottom w:val="single" w:sz="2" w:space="0" w:color="C5D0E8"/>
              <w:right w:val="single" w:sz="2" w:space="0" w:color="C5D0E8"/>
            </w:tcBorders>
            <w:vAlign w:val="center"/>
          </w:tcPr>
          <w:p>
            <w:pPr>
              <w:spacing w:before="80" w:after="80"/>
            </w:pPr>
            <w:r>
              <w:rPr>
                <w:rFonts w:ascii="Arial" w:hAnsi="Arial"/>
                <w:b/>
                <w:color w:val="5064A0"/>
                <w:sz w:val="16"/>
              </w:rPr>
              <w:t>📈 Stage</w:t>
              <w:br/>
            </w:r>
            <w:r>
              <w:rPr>
                <w:rFonts w:ascii="Arial" w:hAnsi="Arial"/>
                <w:color w:val="141E3C"/>
                <w:sz w:val="18"/>
              </w:rPr>
              <w:t>Pre-seed to Seed</w:t>
            </w:r>
          </w:p>
        </w:tc>
        <w:tc>
          <w:tcPr>
            <w:tcW w:type="dxa" w:w="2340"/>
            <w:shd w:val="clear" w:color="auto" w:fill="F0F4FF"/>
            <w:tcW w:w="1800" w:type="dxa"/>
            <w:tcBorders>
              <w:top w:val="single" w:sz="2" w:space="0" w:color="C5D0E8"/>
              <w:left w:val="single" w:sz="2" w:space="0" w:color="C5D0E8"/>
              <w:bottom w:val="single" w:sz="2" w:space="0" w:color="C5D0E8"/>
              <w:right w:val="single" w:sz="2" w:space="0" w:color="C5D0E8"/>
            </w:tcBorders>
            <w:vAlign w:val="center"/>
          </w:tcPr>
          <w:p>
            <w:pPr>
              <w:spacing w:before="80" w:after="80"/>
            </w:pPr>
            <w:r>
              <w:rPr>
                <w:rFonts w:ascii="Arial" w:hAnsi="Arial"/>
                <w:b/>
                <w:color w:val="5064A0"/>
                <w:sz w:val="16"/>
              </w:rPr>
              <w:t>💰 Cheque</w:t>
              <w:br/>
            </w:r>
            <w:r>
              <w:rPr>
                <w:rFonts w:ascii="Arial" w:hAnsi="Arial"/>
                <w:color w:val="141E3C"/>
                <w:sz w:val="18"/>
              </w:rPr>
              <w:t>$300K – $1.5M</w:t>
            </w:r>
          </w:p>
        </w:tc>
        <w:tc>
          <w:tcPr>
            <w:tcW w:type="dxa" w:w="2340"/>
            <w:shd w:val="clear" w:color="auto" w:fill="F0F4FF"/>
            <w:tcW w:w="3860" w:type="dxa"/>
            <w:tcBorders>
              <w:top w:val="single" w:sz="2" w:space="0" w:color="C5D0E8"/>
              <w:left w:val="single" w:sz="2" w:space="0" w:color="C5D0E8"/>
              <w:bottom w:val="single" w:sz="2" w:space="0" w:color="C5D0E8"/>
              <w:right w:val="single" w:sz="2" w:space="0" w:color="C5D0E8"/>
            </w:tcBorders>
            <w:vAlign w:val="center"/>
          </w:tcPr>
          <w:p>
            <w:pPr>
              <w:spacing w:before="80" w:after="80"/>
            </w:pPr>
            <w:r>
              <w:rPr>
                <w:rFonts w:ascii="Arial" w:hAnsi="Arial"/>
                <w:b/>
                <w:color w:val="5064A0"/>
                <w:sz w:val="16"/>
              </w:rPr>
              <w:t>🏦 Fund size</w:t>
              <w:br/>
            </w:r>
            <w:r>
              <w:rPr>
                <w:rFonts w:ascii="Arial" w:hAnsi="Arial"/>
                <w:color w:val="141E3C"/>
                <w:sz w:val="18"/>
              </w:rPr>
              <w:t>Fund II active (2024)</w:t>
            </w:r>
          </w:p>
        </w:tc>
      </w:tr>
    </w:tbl>
    <w:p>
      <w:pPr>
        <w:spacing w:after="80"/>
      </w:pPr>
    </w:p>
    <w:p>
      <w:pPr>
        <w:spacing w:after="80" w:before="0"/>
        <w:jc w:val="left"/>
      </w:pPr>
      <w:r>
        <w:rPr>
          <w:rFonts w:ascii="Arial" w:hAnsi="Arial"/>
          <w:b/>
          <w:i w:val="0"/>
          <w:color w:val="283C78"/>
          <w:sz w:val="20"/>
        </w:rPr>
        <w:t>Sectors: Sector agnostic — strong consumer internet and B2B history</w:t>
      </w:r>
    </w:p>
    <w:p>
      <w:pPr>
        <w:spacing w:after="120" w:before="0"/>
        <w:jc w:val="left"/>
      </w:pPr>
      <w:r>
        <w:rPr>
          <w:rFonts w:ascii="Arial" w:hAnsi="Arial"/>
          <w:b w:val="0"/>
          <w:i/>
          <w:color w:val="505064"/>
          <w:sz w:val="20"/>
        </w:rPr>
        <w:t>Notable portfolio: Unacademy (early), Khatabook, Bounce, YourStory</w:t>
      </w:r>
    </w:p>
    <w:p>
      <w:pPr>
        <w:spacing w:after="40" w:before="0"/>
        <w:jc w:val="left"/>
      </w:pPr>
      <w:r>
        <w:rPr>
          <w:rFonts w:ascii="Arial" w:hAnsi="Arial"/>
          <w:b/>
          <w:i w:val="0"/>
          <w:color w:val="3C3C50"/>
          <w:sz w:val="20"/>
        </w:rPr>
        <w:t>Investment thesis</w:t>
      </w:r>
    </w:p>
    <w:p>
      <w:pPr>
        <w:spacing w:after="120" w:before="0"/>
        <w:jc w:val="left"/>
      </w:pPr>
      <w:r>
        <w:rPr>
          <w:rFonts w:ascii="Arial" w:hAnsi="Arial"/>
          <w:b w:val="0"/>
          <w:i w:val="0"/>
          <w:sz w:val="22"/>
        </w:rPr>
        <w:t>Whiteboard Capital is one of the earliest micro VCs to reach its second fund, which in India's maturing ecosystem is a meaningful signal of LP confidence and portfolio performance. They back founders with a clear point of view on an underserved market, and are known for making decisions based on the quality of thinking behind the idea rather than traction metrics alone.</w:t>
      </w:r>
    </w:p>
    <w:p>
      <w:pPr>
        <w:spacing w:after="40" w:before="0"/>
        <w:jc w:val="left"/>
      </w:pPr>
      <w:r>
        <w:rPr>
          <w:rFonts w:ascii="Arial" w:hAnsi="Arial"/>
          <w:b/>
          <w:i w:val="0"/>
          <w:color w:val="3C3C50"/>
          <w:sz w:val="20"/>
        </w:rPr>
        <w:t>How to approach</w:t>
      </w:r>
    </w:p>
    <w:p>
      <w:pPr>
        <w:spacing w:after="120" w:before="0"/>
        <w:jc w:val="left"/>
      </w:pPr>
      <w:r>
        <w:rPr>
          <w:rFonts w:ascii="Arial" w:hAnsi="Arial"/>
          <w:b w:val="0"/>
          <w:i w:val="0"/>
          <w:sz w:val="22"/>
        </w:rPr>
        <w:t>Whiteboard partners are active in the Bengaluru founder community. The best route in is through a mutual founder connection — their portfolio is broad enough that most Bengaluru founders know someone in it. Cold outreach via LinkedIn works if it is specific and demonstrates that you have studied their portfolio.</w:t>
      </w:r>
    </w:p>
    <w:tbl>
      <w:tblPr>
        <w:tblW w:type="auto" w:w="0"/>
        <w:jc w:val="center"/>
        <w:tblLook w:firstColumn="1" w:firstRow="1" w:lastColumn="0" w:lastRow="0" w:noHBand="0" w:noVBand="1" w:val="04A0"/>
      </w:tblPr>
      <w:tblGrid>
        <w:gridCol w:w="9360"/>
      </w:tblGrid>
      <w:tr>
        <w:tc>
          <w:tcPr>
            <w:tcW w:type="dxa" w:w="9360"/>
            <w:shd w:val="clear" w:color="auto" w:fill="E8F5E9"/>
            <w:tcBorders>
              <w:top w:val="single" w:sz="6" w:space="0" w:color="4CAF50"/>
              <w:left w:val="single" w:sz="6" w:space="0" w:color="4CAF50"/>
              <w:bottom w:val="single" w:sz="6" w:space="0" w:color="4CAF50"/>
              <w:right w:val="single" w:sz="6" w:space="0" w:color="4CAF50"/>
            </w:tcBorders>
          </w:tcPr>
          <w:p>
            <w:pPr>
              <w:spacing w:before="120" w:after="120"/>
            </w:pPr>
            <w:r>
              <w:rPr>
                <w:rFonts w:ascii="Arial" w:hAnsi="Arial"/>
                <w:b/>
                <w:color w:val="14501E"/>
                <w:sz w:val="20"/>
              </w:rPr>
              <w:t xml:space="preserve">✅  Best for: </w:t>
            </w:r>
            <w:r>
              <w:rPr>
                <w:rFonts w:ascii="Arial" w:hAnsi="Arial"/>
                <w:color w:val="14501E"/>
                <w:sz w:val="22"/>
              </w:rPr>
              <w:t>Early-stage founders in Bengaluru or building consumer internet and SaaS products, who can articulate a sharp, original point of view on their market.</w:t>
            </w:r>
          </w:p>
        </w:tc>
      </w:tr>
    </w:tbl>
    <w:p>
      <w:pPr>
        <w:spacing w:after="120"/>
      </w:pPr>
    </w:p>
    <w:p>
      <w:pPr>
        <w:pStyle w:val="Heading3"/>
        <w:spacing w:before="200" w:after="120"/>
      </w:pPr>
      <w:r>
        <w:rPr>
          <w:rFonts w:ascii="Arial" w:hAnsi="Arial"/>
          <w:b/>
          <w:color w:val="142864"/>
          <w:sz w:val="26"/>
        </w:rPr>
        <w:t>4. Warmup Ventures</w:t>
      </w: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F0F4FF"/>
            <w:tcW w:w="1600" w:type="dxa"/>
            <w:tcBorders>
              <w:top w:val="single" w:sz="2" w:space="0" w:color="C5D0E8"/>
              <w:left w:val="single" w:sz="2" w:space="0" w:color="C5D0E8"/>
              <w:bottom w:val="single" w:sz="2" w:space="0" w:color="C5D0E8"/>
              <w:right w:val="single" w:sz="2" w:space="0" w:color="C5D0E8"/>
            </w:tcBorders>
            <w:vAlign w:val="center"/>
          </w:tcPr>
          <w:p>
            <w:pPr>
              <w:spacing w:before="80" w:after="80"/>
            </w:pPr>
            <w:r>
              <w:rPr>
                <w:rFonts w:ascii="Arial" w:hAnsi="Arial"/>
                <w:b/>
                <w:color w:val="5064A0"/>
                <w:sz w:val="16"/>
              </w:rPr>
              <w:t>🏢 HQ</w:t>
              <w:br/>
            </w:r>
            <w:r>
              <w:rPr>
                <w:rFonts w:ascii="Arial" w:hAnsi="Arial"/>
                <w:color w:val="141E3C"/>
                <w:sz w:val="18"/>
              </w:rPr>
              <w:t>Mumbai</w:t>
            </w:r>
          </w:p>
        </w:tc>
        <w:tc>
          <w:tcPr>
            <w:tcW w:type="dxa" w:w="2340"/>
            <w:shd w:val="clear" w:color="auto" w:fill="F0F4FF"/>
            <w:tcW w:w="1700" w:type="dxa"/>
            <w:tcBorders>
              <w:top w:val="single" w:sz="2" w:space="0" w:color="C5D0E8"/>
              <w:left w:val="single" w:sz="2" w:space="0" w:color="C5D0E8"/>
              <w:bottom w:val="single" w:sz="2" w:space="0" w:color="C5D0E8"/>
              <w:right w:val="single" w:sz="2" w:space="0" w:color="C5D0E8"/>
            </w:tcBorders>
            <w:vAlign w:val="center"/>
          </w:tcPr>
          <w:p>
            <w:pPr>
              <w:spacing w:before="80" w:after="80"/>
            </w:pPr>
            <w:r>
              <w:rPr>
                <w:rFonts w:ascii="Arial" w:hAnsi="Arial"/>
                <w:b/>
                <w:color w:val="5064A0"/>
                <w:sz w:val="16"/>
              </w:rPr>
              <w:t>📈 Stage</w:t>
              <w:br/>
            </w:r>
            <w:r>
              <w:rPr>
                <w:rFonts w:ascii="Arial" w:hAnsi="Arial"/>
                <w:color w:val="141E3C"/>
                <w:sz w:val="18"/>
              </w:rPr>
              <w:t>Pre-seed to Seed</w:t>
            </w:r>
          </w:p>
        </w:tc>
        <w:tc>
          <w:tcPr>
            <w:tcW w:type="dxa" w:w="2340"/>
            <w:shd w:val="clear" w:color="auto" w:fill="F0F4FF"/>
            <w:tcW w:w="1800" w:type="dxa"/>
            <w:tcBorders>
              <w:top w:val="single" w:sz="2" w:space="0" w:color="C5D0E8"/>
              <w:left w:val="single" w:sz="2" w:space="0" w:color="C5D0E8"/>
              <w:bottom w:val="single" w:sz="2" w:space="0" w:color="C5D0E8"/>
              <w:right w:val="single" w:sz="2" w:space="0" w:color="C5D0E8"/>
            </w:tcBorders>
            <w:vAlign w:val="center"/>
          </w:tcPr>
          <w:p>
            <w:pPr>
              <w:spacing w:before="80" w:after="80"/>
            </w:pPr>
            <w:r>
              <w:rPr>
                <w:rFonts w:ascii="Arial" w:hAnsi="Arial"/>
                <w:b/>
                <w:color w:val="5064A0"/>
                <w:sz w:val="16"/>
              </w:rPr>
              <w:t>💰 Cheque</w:t>
              <w:br/>
            </w:r>
            <w:r>
              <w:rPr>
                <w:rFonts w:ascii="Arial" w:hAnsi="Arial"/>
                <w:color w:val="141E3C"/>
                <w:sz w:val="18"/>
              </w:rPr>
              <w:t>$200K – $1M</w:t>
            </w:r>
          </w:p>
        </w:tc>
        <w:tc>
          <w:tcPr>
            <w:tcW w:type="dxa" w:w="2340"/>
            <w:shd w:val="clear" w:color="auto" w:fill="F0F4FF"/>
            <w:tcW w:w="3860" w:type="dxa"/>
            <w:tcBorders>
              <w:top w:val="single" w:sz="2" w:space="0" w:color="C5D0E8"/>
              <w:left w:val="single" w:sz="2" w:space="0" w:color="C5D0E8"/>
              <w:bottom w:val="single" w:sz="2" w:space="0" w:color="C5D0E8"/>
              <w:right w:val="single" w:sz="2" w:space="0" w:color="C5D0E8"/>
            </w:tcBorders>
            <w:vAlign w:val="center"/>
          </w:tcPr>
          <w:p>
            <w:pPr>
              <w:spacing w:before="80" w:after="80"/>
            </w:pPr>
            <w:r>
              <w:rPr>
                <w:rFonts w:ascii="Arial" w:hAnsi="Arial"/>
                <w:b/>
                <w:color w:val="5064A0"/>
                <w:sz w:val="16"/>
              </w:rPr>
              <w:t>🏦 Fund size</w:t>
              <w:br/>
            </w:r>
            <w:r>
              <w:rPr>
                <w:rFonts w:ascii="Arial" w:hAnsi="Arial"/>
                <w:color w:val="141E3C"/>
                <w:sz w:val="18"/>
              </w:rPr>
              <w:t>Fund II active</w:t>
            </w:r>
          </w:p>
        </w:tc>
      </w:tr>
    </w:tbl>
    <w:p>
      <w:pPr>
        <w:spacing w:after="80"/>
      </w:pPr>
    </w:p>
    <w:p>
      <w:pPr>
        <w:spacing w:after="80" w:before="0"/>
        <w:jc w:val="left"/>
      </w:pPr>
      <w:r>
        <w:rPr>
          <w:rFonts w:ascii="Arial" w:hAnsi="Arial"/>
          <w:b/>
          <w:i w:val="0"/>
          <w:color w:val="283C78"/>
          <w:sz w:val="20"/>
        </w:rPr>
        <w:t>Sectors: Sector agnostic — B2B SaaS, fintech, consumer strong</w:t>
      </w:r>
    </w:p>
    <w:p>
      <w:pPr>
        <w:spacing w:after="120" w:before="0"/>
        <w:jc w:val="left"/>
      </w:pPr>
      <w:r>
        <w:rPr>
          <w:rFonts w:ascii="Arial" w:hAnsi="Arial"/>
          <w:b w:val="0"/>
          <w:i/>
          <w:color w:val="505064"/>
          <w:sz w:val="20"/>
        </w:rPr>
        <w:t>Notable portfolio: Finbox, Volopay, Tagbox, Loop Health</w:t>
      </w:r>
    </w:p>
    <w:p>
      <w:pPr>
        <w:spacing w:after="40" w:before="0"/>
        <w:jc w:val="left"/>
      </w:pPr>
      <w:r>
        <w:rPr>
          <w:rFonts w:ascii="Arial" w:hAnsi="Arial"/>
          <w:b/>
          <w:i w:val="0"/>
          <w:color w:val="3C3C50"/>
          <w:sz w:val="20"/>
        </w:rPr>
        <w:t>Investment thesis</w:t>
      </w:r>
    </w:p>
    <w:p>
      <w:pPr>
        <w:spacing w:after="120" w:before="0"/>
        <w:jc w:val="left"/>
      </w:pPr>
      <w:r>
        <w:rPr>
          <w:rFonts w:ascii="Arial" w:hAnsi="Arial"/>
          <w:b w:val="0"/>
          <w:i w:val="0"/>
          <w:sz w:val="22"/>
        </w:rPr>
        <w:t>Warmup Ventures lives up to its name — they want to engage with founders early, before the pitch is polished, and warm up alongside the business. They are particularly active in helping founders think through go-to-market strategy and early customer development, making them a strong fit for founders who want operational involvement, not just capital.</w:t>
      </w:r>
    </w:p>
    <w:p>
      <w:pPr>
        <w:spacing w:after="40" w:before="0"/>
        <w:jc w:val="left"/>
      </w:pPr>
      <w:r>
        <w:rPr>
          <w:rFonts w:ascii="Arial" w:hAnsi="Arial"/>
          <w:b/>
          <w:i w:val="0"/>
          <w:color w:val="3C3C50"/>
          <w:sz w:val="20"/>
        </w:rPr>
        <w:t>How to approach</w:t>
      </w:r>
    </w:p>
    <w:p>
      <w:pPr>
        <w:spacing w:after="120" w:before="0"/>
        <w:jc w:val="left"/>
      </w:pPr>
      <w:r>
        <w:rPr>
          <w:rFonts w:ascii="Arial" w:hAnsi="Arial"/>
          <w:b w:val="0"/>
          <w:i w:val="0"/>
          <w:sz w:val="22"/>
        </w:rPr>
        <w:t>The Warmup team is active at Mumbai founder events and on LinkedIn. They respond well to founders who reach out with a specific question or ask — not just a deck. Show them you are already thinking like an operator.</w:t>
      </w:r>
    </w:p>
    <w:tbl>
      <w:tblPr>
        <w:tblW w:type="auto" w:w="0"/>
        <w:jc w:val="center"/>
        <w:tblLook w:firstColumn="1" w:firstRow="1" w:lastColumn="0" w:lastRow="0" w:noHBand="0" w:noVBand="1" w:val="04A0"/>
      </w:tblPr>
      <w:tblGrid>
        <w:gridCol w:w="9360"/>
      </w:tblGrid>
      <w:tr>
        <w:tc>
          <w:tcPr>
            <w:tcW w:type="dxa" w:w="9360"/>
            <w:shd w:val="clear" w:color="auto" w:fill="E8F5E9"/>
            <w:tcBorders>
              <w:top w:val="single" w:sz="6" w:space="0" w:color="4CAF50"/>
              <w:left w:val="single" w:sz="6" w:space="0" w:color="4CAF50"/>
              <w:bottom w:val="single" w:sz="6" w:space="0" w:color="4CAF50"/>
              <w:right w:val="single" w:sz="6" w:space="0" w:color="4CAF50"/>
            </w:tcBorders>
          </w:tcPr>
          <w:p>
            <w:pPr>
              <w:spacing w:before="120" w:after="120"/>
            </w:pPr>
            <w:r>
              <w:rPr>
                <w:rFonts w:ascii="Arial" w:hAnsi="Arial"/>
                <w:b/>
                <w:color w:val="14501E"/>
                <w:sz w:val="20"/>
              </w:rPr>
              <w:t xml:space="preserve">✅  Best for: </w:t>
            </w:r>
            <w:r>
              <w:rPr>
                <w:rFonts w:ascii="Arial" w:hAnsi="Arial"/>
                <w:color w:val="14501E"/>
                <w:sz w:val="22"/>
              </w:rPr>
              <w:t>Mumbai-based founders at the idea or prototype stage who want an investor that will help them think through GTM before they even have customers.</w:t>
            </w:r>
          </w:p>
        </w:tc>
      </w:tr>
    </w:tbl>
    <w:p>
      <w:pPr>
        <w:spacing w:after="120"/>
      </w:pPr>
    </w:p>
    <w:p>
      <w:pPr>
        <w:pStyle w:val="Heading3"/>
        <w:spacing w:before="200" w:after="120"/>
      </w:pPr>
      <w:r>
        <w:rPr>
          <w:rFonts w:ascii="Arial" w:hAnsi="Arial"/>
          <w:b/>
          <w:color w:val="142864"/>
          <w:sz w:val="26"/>
        </w:rPr>
        <w:t>5. Sparrow Capital</w:t>
      </w: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F0F4FF"/>
            <w:tcW w:w="1600" w:type="dxa"/>
            <w:tcBorders>
              <w:top w:val="single" w:sz="2" w:space="0" w:color="C5D0E8"/>
              <w:left w:val="single" w:sz="2" w:space="0" w:color="C5D0E8"/>
              <w:bottom w:val="single" w:sz="2" w:space="0" w:color="C5D0E8"/>
              <w:right w:val="single" w:sz="2" w:space="0" w:color="C5D0E8"/>
            </w:tcBorders>
            <w:vAlign w:val="center"/>
          </w:tcPr>
          <w:p>
            <w:pPr>
              <w:spacing w:before="80" w:after="80"/>
            </w:pPr>
            <w:r>
              <w:rPr>
                <w:rFonts w:ascii="Arial" w:hAnsi="Arial"/>
                <w:b/>
                <w:color w:val="5064A0"/>
                <w:sz w:val="16"/>
              </w:rPr>
              <w:t>🏢 HQ</w:t>
              <w:br/>
            </w:r>
            <w:r>
              <w:rPr>
                <w:rFonts w:ascii="Arial" w:hAnsi="Arial"/>
                <w:color w:val="141E3C"/>
                <w:sz w:val="18"/>
              </w:rPr>
              <w:t>Bengaluru</w:t>
            </w:r>
          </w:p>
        </w:tc>
        <w:tc>
          <w:tcPr>
            <w:tcW w:type="dxa" w:w="2340"/>
            <w:shd w:val="clear" w:color="auto" w:fill="F0F4FF"/>
            <w:tcW w:w="1700" w:type="dxa"/>
            <w:tcBorders>
              <w:top w:val="single" w:sz="2" w:space="0" w:color="C5D0E8"/>
              <w:left w:val="single" w:sz="2" w:space="0" w:color="C5D0E8"/>
              <w:bottom w:val="single" w:sz="2" w:space="0" w:color="C5D0E8"/>
              <w:right w:val="single" w:sz="2" w:space="0" w:color="C5D0E8"/>
            </w:tcBorders>
            <w:vAlign w:val="center"/>
          </w:tcPr>
          <w:p>
            <w:pPr>
              <w:spacing w:before="80" w:after="80"/>
            </w:pPr>
            <w:r>
              <w:rPr>
                <w:rFonts w:ascii="Arial" w:hAnsi="Arial"/>
                <w:b/>
                <w:color w:val="5064A0"/>
                <w:sz w:val="16"/>
              </w:rPr>
              <w:t>📈 Stage</w:t>
              <w:br/>
            </w:r>
            <w:r>
              <w:rPr>
                <w:rFonts w:ascii="Arial" w:hAnsi="Arial"/>
                <w:color w:val="141E3C"/>
                <w:sz w:val="18"/>
              </w:rPr>
              <w:t>Pre-seed to Seed</w:t>
            </w:r>
          </w:p>
        </w:tc>
        <w:tc>
          <w:tcPr>
            <w:tcW w:type="dxa" w:w="2340"/>
            <w:shd w:val="clear" w:color="auto" w:fill="F0F4FF"/>
            <w:tcW w:w="1800" w:type="dxa"/>
            <w:tcBorders>
              <w:top w:val="single" w:sz="2" w:space="0" w:color="C5D0E8"/>
              <w:left w:val="single" w:sz="2" w:space="0" w:color="C5D0E8"/>
              <w:bottom w:val="single" w:sz="2" w:space="0" w:color="C5D0E8"/>
              <w:right w:val="single" w:sz="2" w:space="0" w:color="C5D0E8"/>
            </w:tcBorders>
            <w:vAlign w:val="center"/>
          </w:tcPr>
          <w:p>
            <w:pPr>
              <w:spacing w:before="80" w:after="80"/>
            </w:pPr>
            <w:r>
              <w:rPr>
                <w:rFonts w:ascii="Arial" w:hAnsi="Arial"/>
                <w:b/>
                <w:color w:val="5064A0"/>
                <w:sz w:val="16"/>
              </w:rPr>
              <w:t>💰 Cheque</w:t>
              <w:br/>
            </w:r>
            <w:r>
              <w:rPr>
                <w:rFonts w:ascii="Arial" w:hAnsi="Arial"/>
                <w:color w:val="141E3C"/>
                <w:sz w:val="18"/>
              </w:rPr>
              <w:t>$200K – $1.2M</w:t>
            </w:r>
          </w:p>
        </w:tc>
        <w:tc>
          <w:tcPr>
            <w:tcW w:type="dxa" w:w="2340"/>
            <w:shd w:val="clear" w:color="auto" w:fill="F0F4FF"/>
            <w:tcW w:w="3860" w:type="dxa"/>
            <w:tcBorders>
              <w:top w:val="single" w:sz="2" w:space="0" w:color="C5D0E8"/>
              <w:left w:val="single" w:sz="2" w:space="0" w:color="C5D0E8"/>
              <w:bottom w:val="single" w:sz="2" w:space="0" w:color="C5D0E8"/>
              <w:right w:val="single" w:sz="2" w:space="0" w:color="C5D0E8"/>
            </w:tcBorders>
            <w:vAlign w:val="center"/>
          </w:tcPr>
          <w:p>
            <w:pPr>
              <w:spacing w:before="80" w:after="80"/>
            </w:pPr>
            <w:r>
              <w:rPr>
                <w:rFonts w:ascii="Arial" w:hAnsi="Arial"/>
                <w:b/>
                <w:color w:val="5064A0"/>
                <w:sz w:val="16"/>
              </w:rPr>
              <w:t>🏦 Fund size</w:t>
              <w:br/>
            </w:r>
            <w:r>
              <w:rPr>
                <w:rFonts w:ascii="Arial" w:hAnsi="Arial"/>
                <w:color w:val="141E3C"/>
                <w:sz w:val="18"/>
              </w:rPr>
              <w:t>Fund II active (raised 2024–25)</w:t>
            </w:r>
          </w:p>
        </w:tc>
      </w:tr>
    </w:tbl>
    <w:p>
      <w:pPr>
        <w:spacing w:after="80"/>
      </w:pPr>
    </w:p>
    <w:p>
      <w:pPr>
        <w:spacing w:after="80" w:before="0"/>
        <w:jc w:val="left"/>
      </w:pPr>
      <w:r>
        <w:rPr>
          <w:rFonts w:ascii="Arial" w:hAnsi="Arial"/>
          <w:b/>
          <w:i w:val="0"/>
          <w:color w:val="283C78"/>
          <w:sz w:val="20"/>
        </w:rPr>
        <w:t>Sectors: Sector agnostic — consumer, B2B, fintech, SaaS</w:t>
      </w:r>
    </w:p>
    <w:p>
      <w:pPr>
        <w:spacing w:after="120" w:before="0"/>
        <w:jc w:val="left"/>
      </w:pPr>
      <w:r>
        <w:rPr>
          <w:rFonts w:ascii="Arial" w:hAnsi="Arial"/>
          <w:b w:val="0"/>
          <w:i/>
          <w:color w:val="505064"/>
          <w:sz w:val="20"/>
        </w:rPr>
        <w:t>Notable portfolio: Classplus (early), Jar (co-invested), multiple B2B SaaS cos</w:t>
      </w:r>
    </w:p>
    <w:p>
      <w:pPr>
        <w:spacing w:after="40" w:before="0"/>
        <w:jc w:val="left"/>
      </w:pPr>
      <w:r>
        <w:rPr>
          <w:rFonts w:ascii="Arial" w:hAnsi="Arial"/>
          <w:b/>
          <w:i w:val="0"/>
          <w:color w:val="3C3C50"/>
          <w:sz w:val="20"/>
        </w:rPr>
        <w:t>Investment thesis</w:t>
      </w:r>
    </w:p>
    <w:p>
      <w:pPr>
        <w:spacing w:after="120" w:before="0"/>
        <w:jc w:val="left"/>
      </w:pPr>
      <w:r>
        <w:rPr>
          <w:rFonts w:ascii="Arial" w:hAnsi="Arial"/>
          <w:b w:val="0"/>
          <w:i w:val="0"/>
          <w:sz w:val="22"/>
        </w:rPr>
        <w:t>Sparrow Capital is a quiet but consistent performer in India's micro VC landscape — one of the funds that Blume explicitly validated as a Fund II graduate, which means they have earned LP trust through measurable early performance. They back founders at the earliest stages, often before a clear revenue model exists, and stay deeply involved through the first 18 months.</w:t>
      </w:r>
    </w:p>
    <w:p>
      <w:pPr>
        <w:spacing w:after="40" w:before="0"/>
        <w:jc w:val="left"/>
      </w:pPr>
      <w:r>
        <w:rPr>
          <w:rFonts w:ascii="Arial" w:hAnsi="Arial"/>
          <w:b/>
          <w:i w:val="0"/>
          <w:color w:val="3C3C50"/>
          <w:sz w:val="20"/>
        </w:rPr>
        <w:t>How to approach</w:t>
      </w:r>
    </w:p>
    <w:p>
      <w:pPr>
        <w:spacing w:after="120" w:before="0"/>
        <w:jc w:val="left"/>
      </w:pPr>
      <w:r>
        <w:rPr>
          <w:rFonts w:ascii="Arial" w:hAnsi="Arial"/>
          <w:b w:val="0"/>
          <w:i w:val="0"/>
          <w:sz w:val="22"/>
        </w:rPr>
        <w:t>Sparrow is approachable via LinkedIn and warm introductions from their portfolio. They tend to respond well to founders who have done real customer discovery and can speak concretely about what they have learned — even if the product is not built yet.</w:t>
      </w:r>
    </w:p>
    <w:tbl>
      <w:tblPr>
        <w:tblW w:type="auto" w:w="0"/>
        <w:jc w:val="center"/>
        <w:tblLook w:firstColumn="1" w:firstRow="1" w:lastColumn="0" w:lastRow="0" w:noHBand="0" w:noVBand="1" w:val="04A0"/>
      </w:tblPr>
      <w:tblGrid>
        <w:gridCol w:w="9360"/>
      </w:tblGrid>
      <w:tr>
        <w:tc>
          <w:tcPr>
            <w:tcW w:type="dxa" w:w="9360"/>
            <w:shd w:val="clear" w:color="auto" w:fill="E8F5E9"/>
            <w:tcBorders>
              <w:top w:val="single" w:sz="6" w:space="0" w:color="4CAF50"/>
              <w:left w:val="single" w:sz="6" w:space="0" w:color="4CAF50"/>
              <w:bottom w:val="single" w:sz="6" w:space="0" w:color="4CAF50"/>
              <w:right w:val="single" w:sz="6" w:space="0" w:color="4CAF50"/>
            </w:tcBorders>
          </w:tcPr>
          <w:p>
            <w:pPr>
              <w:spacing w:before="120" w:after="120"/>
            </w:pPr>
            <w:r>
              <w:rPr>
                <w:rFonts w:ascii="Arial" w:hAnsi="Arial"/>
                <w:b/>
                <w:color w:val="14501E"/>
                <w:sz w:val="20"/>
              </w:rPr>
              <w:t xml:space="preserve">✅  Best for: </w:t>
            </w:r>
            <w:r>
              <w:rPr>
                <w:rFonts w:ascii="Arial" w:hAnsi="Arial"/>
                <w:color w:val="14501E"/>
                <w:sz w:val="22"/>
              </w:rPr>
              <w:t>Founders at pre-product or prototype stage who have done deep customer discovery and want an investor who will co-think the earliest strategic decisions.</w:t>
            </w:r>
          </w:p>
        </w:tc>
      </w:tr>
    </w:tbl>
    <w:p>
      <w:pPr>
        <w:spacing w:after="120"/>
      </w:pPr>
    </w:p>
    <w:tbl>
      <w:tblPr>
        <w:tblW w:type="auto" w:w="0"/>
        <w:jc w:val="center"/>
        <w:tblLook w:firstColumn="1" w:firstRow="1" w:lastColumn="0" w:lastRow="0" w:noHBand="0" w:noVBand="1" w:val="04A0"/>
      </w:tblPr>
      <w:tblGrid>
        <w:gridCol w:w="9360"/>
      </w:tblGrid>
      <w:tr>
        <w:tc>
          <w:tcPr>
            <w:tcW w:type="dxa" w:w="9360"/>
            <w:shd w:val="clear" w:color="auto" w:fill="E8F4FB"/>
            <w:tcBorders>
              <w:top w:val="single" w:sz="6" w:space="0" w:color="185FA5"/>
              <w:left w:val="single" w:sz="6" w:space="0" w:color="185FA5"/>
              <w:bottom w:val="single" w:sz="6" w:space="0" w:color="185FA5"/>
              <w:right w:val="single" w:sz="6" w:space="0" w:color="185FA5"/>
            </w:tcBorders>
          </w:tcPr>
          <w:p>
            <w:pPr>
              <w:spacing w:before="200"/>
              <w:jc w:val="center"/>
            </w:pPr>
            <w:r>
              <w:rPr>
                <w:rFonts w:ascii="Arial" w:hAnsi="Arial"/>
                <w:b/>
                <w:color w:val="185FA5"/>
                <w:sz w:val="22"/>
              </w:rPr>
              <w:t>📷  IMAGE 3 — QUICK REFERENCE GRAPHIC: All 15 Micro VCs at a Glance</w:t>
            </w:r>
          </w:p>
          <w:p>
            <w:pPr>
              <w:jc w:val="center"/>
            </w:pPr>
            <w:r>
              <w:rPr>
                <w:rFonts w:ascii="Arial" w:hAnsi="Arial"/>
                <w:color w:val="3C3C50"/>
                <w:sz w:val="20"/>
              </w:rPr>
              <w:t>Designed table listing all 15 micro VCs:</w:t>
              <w:br/>
              <w:t>Columns: Fund Name | Category | Stage | Cheque Size | Best For</w:t>
              <w:br/>
              <w:t>Colour-coded by category (A/B/C/D). Shareable on LinkedIn.</w:t>
              <w:br/>
              <w:t>Dimensions: 1200 × 900 px. VC Dekho branded.</w:t>
            </w:r>
          </w:p>
          <w:p>
            <w:pPr>
              <w:spacing w:after="200"/>
              <w:jc w:val="center"/>
            </w:pPr>
            <w:r>
              <w:rPr>
                <w:rFonts w:ascii="Arial" w:hAnsi="Arial"/>
                <w:i/>
                <w:color w:val="78788C"/>
                <w:sz w:val="18"/>
              </w:rPr>
              <w:t>Alt text: "Quick reference table of 15 best micro VC funds in India for 2026 — by stage, cheque size, and focus"</w:t>
            </w:r>
          </w:p>
        </w:tc>
      </w:tr>
    </w:tbl>
    <w:p>
      <w:pPr>
        <w:spacing w:after="120"/>
      </w:pPr>
    </w:p>
    <w:p>
      <w:pPr>
        <w:pStyle w:val="Heading2"/>
        <w:spacing w:before="360" w:after="160"/>
      </w:pPr>
      <w:r>
        <w:rPr>
          <w:rFonts w:ascii="Arial" w:hAnsi="Arial"/>
          <w:b/>
          <w:color w:val="0A643C"/>
          <w:sz w:val="34"/>
        </w:rPr>
        <w:t>Category B — SaaS, AI and B2B focused funds</w:t>
      </w:r>
    </w:p>
    <w:p>
      <w:pPr>
        <w:pStyle w:val="Heading3"/>
        <w:spacing w:before="200" w:after="120"/>
      </w:pPr>
      <w:r>
        <w:rPr>
          <w:rFonts w:ascii="Arial" w:hAnsi="Arial"/>
          <w:b/>
          <w:color w:val="142864"/>
          <w:sz w:val="26"/>
        </w:rPr>
        <w:t>6. Neon Fund</w:t>
      </w: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F0F4FF"/>
            <w:tcW w:w="1600" w:type="dxa"/>
            <w:tcBorders>
              <w:top w:val="single" w:sz="2" w:space="0" w:color="C5D0E8"/>
              <w:left w:val="single" w:sz="2" w:space="0" w:color="C5D0E8"/>
              <w:bottom w:val="single" w:sz="2" w:space="0" w:color="C5D0E8"/>
              <w:right w:val="single" w:sz="2" w:space="0" w:color="C5D0E8"/>
            </w:tcBorders>
            <w:vAlign w:val="center"/>
          </w:tcPr>
          <w:p>
            <w:pPr>
              <w:spacing w:before="80" w:after="80"/>
            </w:pPr>
            <w:r>
              <w:rPr>
                <w:rFonts w:ascii="Arial" w:hAnsi="Arial"/>
                <w:b/>
                <w:color w:val="5064A0"/>
                <w:sz w:val="16"/>
              </w:rPr>
              <w:t>🏢 HQ</w:t>
              <w:br/>
            </w:r>
            <w:r>
              <w:rPr>
                <w:rFonts w:ascii="Arial" w:hAnsi="Arial"/>
                <w:color w:val="141E3C"/>
                <w:sz w:val="18"/>
              </w:rPr>
              <w:t>Bengaluru</w:t>
            </w:r>
          </w:p>
        </w:tc>
        <w:tc>
          <w:tcPr>
            <w:tcW w:type="dxa" w:w="2340"/>
            <w:shd w:val="clear" w:color="auto" w:fill="F0F4FF"/>
            <w:tcW w:w="1700" w:type="dxa"/>
            <w:tcBorders>
              <w:top w:val="single" w:sz="2" w:space="0" w:color="C5D0E8"/>
              <w:left w:val="single" w:sz="2" w:space="0" w:color="C5D0E8"/>
              <w:bottom w:val="single" w:sz="2" w:space="0" w:color="C5D0E8"/>
              <w:right w:val="single" w:sz="2" w:space="0" w:color="C5D0E8"/>
            </w:tcBorders>
            <w:vAlign w:val="center"/>
          </w:tcPr>
          <w:p>
            <w:pPr>
              <w:spacing w:before="80" w:after="80"/>
            </w:pPr>
            <w:r>
              <w:rPr>
                <w:rFonts w:ascii="Arial" w:hAnsi="Arial"/>
                <w:b/>
                <w:color w:val="5064A0"/>
                <w:sz w:val="16"/>
              </w:rPr>
              <w:t>📈 Stage</w:t>
              <w:br/>
            </w:r>
            <w:r>
              <w:rPr>
                <w:rFonts w:ascii="Arial" w:hAnsi="Arial"/>
                <w:color w:val="141E3C"/>
                <w:sz w:val="18"/>
              </w:rPr>
              <w:t>Pre-seed to Seed</w:t>
            </w:r>
          </w:p>
        </w:tc>
        <w:tc>
          <w:tcPr>
            <w:tcW w:type="dxa" w:w="2340"/>
            <w:shd w:val="clear" w:color="auto" w:fill="F0F4FF"/>
            <w:tcW w:w="1800" w:type="dxa"/>
            <w:tcBorders>
              <w:top w:val="single" w:sz="2" w:space="0" w:color="C5D0E8"/>
              <w:left w:val="single" w:sz="2" w:space="0" w:color="C5D0E8"/>
              <w:bottom w:val="single" w:sz="2" w:space="0" w:color="C5D0E8"/>
              <w:right w:val="single" w:sz="2" w:space="0" w:color="C5D0E8"/>
            </w:tcBorders>
            <w:vAlign w:val="center"/>
          </w:tcPr>
          <w:p>
            <w:pPr>
              <w:spacing w:before="80" w:after="80"/>
            </w:pPr>
            <w:r>
              <w:rPr>
                <w:rFonts w:ascii="Arial" w:hAnsi="Arial"/>
                <w:b/>
                <w:color w:val="5064A0"/>
                <w:sz w:val="16"/>
              </w:rPr>
              <w:t>💰 Cheque</w:t>
              <w:br/>
            </w:r>
            <w:r>
              <w:rPr>
                <w:rFonts w:ascii="Arial" w:hAnsi="Arial"/>
                <w:color w:val="141E3C"/>
                <w:sz w:val="18"/>
              </w:rPr>
              <w:t>$200K – $1M</w:t>
            </w:r>
          </w:p>
        </w:tc>
        <w:tc>
          <w:tcPr>
            <w:tcW w:type="dxa" w:w="2340"/>
            <w:shd w:val="clear" w:color="auto" w:fill="F0F4FF"/>
            <w:tcW w:w="3860" w:type="dxa"/>
            <w:tcBorders>
              <w:top w:val="single" w:sz="2" w:space="0" w:color="C5D0E8"/>
              <w:left w:val="single" w:sz="2" w:space="0" w:color="C5D0E8"/>
              <w:bottom w:val="single" w:sz="2" w:space="0" w:color="C5D0E8"/>
              <w:right w:val="single" w:sz="2" w:space="0" w:color="C5D0E8"/>
            </w:tcBorders>
            <w:vAlign w:val="center"/>
          </w:tcPr>
          <w:p>
            <w:pPr>
              <w:spacing w:before="80" w:after="80"/>
            </w:pPr>
            <w:r>
              <w:rPr>
                <w:rFonts w:ascii="Arial" w:hAnsi="Arial"/>
                <w:b/>
                <w:color w:val="5064A0"/>
                <w:sz w:val="16"/>
              </w:rPr>
              <w:t>🏦 Fund size</w:t>
              <w:br/>
            </w:r>
            <w:r>
              <w:rPr>
                <w:rFonts w:ascii="Arial" w:hAnsi="Arial"/>
                <w:color w:val="141E3C"/>
                <w:sz w:val="18"/>
              </w:rPr>
              <w:t>Fund II active (one of the first micro VCs to raise a second fund)</w:t>
            </w:r>
          </w:p>
        </w:tc>
      </w:tr>
    </w:tbl>
    <w:p>
      <w:pPr>
        <w:spacing w:after="80"/>
      </w:pPr>
    </w:p>
    <w:p>
      <w:pPr>
        <w:spacing w:after="80" w:before="0"/>
        <w:jc w:val="left"/>
      </w:pPr>
      <w:r>
        <w:rPr>
          <w:rFonts w:ascii="Arial" w:hAnsi="Arial"/>
          <w:b/>
          <w:i w:val="0"/>
          <w:color w:val="283C78"/>
          <w:sz w:val="20"/>
        </w:rPr>
        <w:t>Sectors: SaaS, AI-native products, B2B software</w:t>
      </w:r>
    </w:p>
    <w:p>
      <w:pPr>
        <w:spacing w:after="120" w:before="0"/>
        <w:jc w:val="left"/>
      </w:pPr>
      <w:r>
        <w:rPr>
          <w:rFonts w:ascii="Arial" w:hAnsi="Arial"/>
          <w:b w:val="0"/>
          <w:i/>
          <w:color w:val="505064"/>
          <w:sz w:val="20"/>
        </w:rPr>
        <w:t>Notable portfolio: Multiple early-stage SaaS and AI-native companies</w:t>
      </w:r>
    </w:p>
    <w:p>
      <w:pPr>
        <w:spacing w:after="40" w:before="0"/>
        <w:jc w:val="left"/>
      </w:pPr>
      <w:r>
        <w:rPr>
          <w:rFonts w:ascii="Arial" w:hAnsi="Arial"/>
          <w:b/>
          <w:i w:val="0"/>
          <w:color w:val="3C3C50"/>
          <w:sz w:val="20"/>
        </w:rPr>
        <w:t>Investment thesis</w:t>
      </w:r>
    </w:p>
    <w:p>
      <w:pPr>
        <w:spacing w:after="120" w:before="0"/>
        <w:jc w:val="left"/>
      </w:pPr>
      <w:r>
        <w:rPr>
          <w:rFonts w:ascii="Arial" w:hAnsi="Arial"/>
          <w:b w:val="0"/>
          <w:i w:val="0"/>
          <w:sz w:val="22"/>
        </w:rPr>
        <w:t>Neon Fund has carved out one of the clearest sector identities in India's micro VC landscape — they back SaaS and AI-native companies, specifically founders who think about distribution and monetisation as rigorously as they think about product. Being among the earliest micro VCs to raise a second fund, their LP relationships and portfolio support are more mature than most at their size.</w:t>
      </w:r>
    </w:p>
    <w:p>
      <w:pPr>
        <w:spacing w:after="40" w:before="0"/>
        <w:jc w:val="left"/>
      </w:pPr>
      <w:r>
        <w:rPr>
          <w:rFonts w:ascii="Arial" w:hAnsi="Arial"/>
          <w:b/>
          <w:i w:val="0"/>
          <w:color w:val="3C3C50"/>
          <w:sz w:val="20"/>
        </w:rPr>
        <w:t>How to approach</w:t>
      </w:r>
    </w:p>
    <w:p>
      <w:pPr>
        <w:spacing w:after="120" w:before="0"/>
        <w:jc w:val="left"/>
      </w:pPr>
      <w:r>
        <w:rPr>
          <w:rFonts w:ascii="Arial" w:hAnsi="Arial"/>
          <w:b w:val="0"/>
          <w:i w:val="0"/>
          <w:sz w:val="22"/>
        </w:rPr>
        <w:t>Neon Fund partners are active in Bengaluru's SaaS founder community and on Twitter/X. Lead with your monetisation thinking — show them you have a clear view on pricing, ICP, and sales motion even before you have customers. A cold email with a specific insight about the market you are entering will outperform a generic deck.</w:t>
      </w:r>
    </w:p>
    <w:tbl>
      <w:tblPr>
        <w:tblW w:type="auto" w:w="0"/>
        <w:jc w:val="center"/>
        <w:tblLook w:firstColumn="1" w:firstRow="1" w:lastColumn="0" w:lastRow="0" w:noHBand="0" w:noVBand="1" w:val="04A0"/>
      </w:tblPr>
      <w:tblGrid>
        <w:gridCol w:w="9360"/>
      </w:tblGrid>
      <w:tr>
        <w:tc>
          <w:tcPr>
            <w:tcW w:type="dxa" w:w="9360"/>
            <w:shd w:val="clear" w:color="auto" w:fill="E8F5E9"/>
            <w:tcBorders>
              <w:top w:val="single" w:sz="6" w:space="0" w:color="4CAF50"/>
              <w:left w:val="single" w:sz="6" w:space="0" w:color="4CAF50"/>
              <w:bottom w:val="single" w:sz="6" w:space="0" w:color="4CAF50"/>
              <w:right w:val="single" w:sz="6" w:space="0" w:color="4CAF50"/>
            </w:tcBorders>
          </w:tcPr>
          <w:p>
            <w:pPr>
              <w:spacing w:before="120" w:after="120"/>
            </w:pPr>
            <w:r>
              <w:rPr>
                <w:rFonts w:ascii="Arial" w:hAnsi="Arial"/>
                <w:b/>
                <w:color w:val="14501E"/>
                <w:sz w:val="20"/>
              </w:rPr>
              <w:t xml:space="preserve">✅  Best for: </w:t>
            </w:r>
            <w:r>
              <w:rPr>
                <w:rFonts w:ascii="Arial" w:hAnsi="Arial"/>
                <w:color w:val="14501E"/>
                <w:sz w:val="22"/>
              </w:rPr>
              <w:t>Founders building SaaS or AI-native B2B products with a clear ICP, strong technical credentials, and a founder who thinks like a distributor.</w:t>
            </w:r>
          </w:p>
        </w:tc>
      </w:tr>
    </w:tbl>
    <w:p>
      <w:pPr>
        <w:spacing w:after="120"/>
      </w:pPr>
    </w:p>
    <w:p>
      <w:pPr>
        <w:pStyle w:val="Heading3"/>
        <w:spacing w:before="200" w:after="120"/>
      </w:pPr>
      <w:r>
        <w:rPr>
          <w:rFonts w:ascii="Arial" w:hAnsi="Arial"/>
          <w:b/>
          <w:color w:val="142864"/>
          <w:sz w:val="26"/>
        </w:rPr>
        <w:t>7. Foster Ventures</w:t>
      </w: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F0F4FF"/>
            <w:tcW w:w="1600" w:type="dxa"/>
            <w:tcBorders>
              <w:top w:val="single" w:sz="2" w:space="0" w:color="C5D0E8"/>
              <w:left w:val="single" w:sz="2" w:space="0" w:color="C5D0E8"/>
              <w:bottom w:val="single" w:sz="2" w:space="0" w:color="C5D0E8"/>
              <w:right w:val="single" w:sz="2" w:space="0" w:color="C5D0E8"/>
            </w:tcBorders>
            <w:vAlign w:val="center"/>
          </w:tcPr>
          <w:p>
            <w:pPr>
              <w:spacing w:before="80" w:after="80"/>
            </w:pPr>
            <w:r>
              <w:rPr>
                <w:rFonts w:ascii="Arial" w:hAnsi="Arial"/>
                <w:b/>
                <w:color w:val="5064A0"/>
                <w:sz w:val="16"/>
              </w:rPr>
              <w:t>🏢 HQ</w:t>
              <w:br/>
            </w:r>
            <w:r>
              <w:rPr>
                <w:rFonts w:ascii="Arial" w:hAnsi="Arial"/>
                <w:color w:val="141E3C"/>
                <w:sz w:val="18"/>
              </w:rPr>
              <w:t>Bengaluru</w:t>
            </w:r>
          </w:p>
        </w:tc>
        <w:tc>
          <w:tcPr>
            <w:tcW w:type="dxa" w:w="2340"/>
            <w:shd w:val="clear" w:color="auto" w:fill="F0F4FF"/>
            <w:tcW w:w="1700" w:type="dxa"/>
            <w:tcBorders>
              <w:top w:val="single" w:sz="2" w:space="0" w:color="C5D0E8"/>
              <w:left w:val="single" w:sz="2" w:space="0" w:color="C5D0E8"/>
              <w:bottom w:val="single" w:sz="2" w:space="0" w:color="C5D0E8"/>
              <w:right w:val="single" w:sz="2" w:space="0" w:color="C5D0E8"/>
            </w:tcBorders>
            <w:vAlign w:val="center"/>
          </w:tcPr>
          <w:p>
            <w:pPr>
              <w:spacing w:before="80" w:after="80"/>
            </w:pPr>
            <w:r>
              <w:rPr>
                <w:rFonts w:ascii="Arial" w:hAnsi="Arial"/>
                <w:b/>
                <w:color w:val="5064A0"/>
                <w:sz w:val="16"/>
              </w:rPr>
              <w:t>📈 Stage</w:t>
              <w:br/>
            </w:r>
            <w:r>
              <w:rPr>
                <w:rFonts w:ascii="Arial" w:hAnsi="Arial"/>
                <w:color w:val="141E3C"/>
                <w:sz w:val="18"/>
              </w:rPr>
              <w:t>Pre-seed to Seed</w:t>
            </w:r>
          </w:p>
        </w:tc>
        <w:tc>
          <w:tcPr>
            <w:tcW w:type="dxa" w:w="2340"/>
            <w:shd w:val="clear" w:color="auto" w:fill="F0F4FF"/>
            <w:tcW w:w="1800" w:type="dxa"/>
            <w:tcBorders>
              <w:top w:val="single" w:sz="2" w:space="0" w:color="C5D0E8"/>
              <w:left w:val="single" w:sz="2" w:space="0" w:color="C5D0E8"/>
              <w:bottom w:val="single" w:sz="2" w:space="0" w:color="C5D0E8"/>
              <w:right w:val="single" w:sz="2" w:space="0" w:color="C5D0E8"/>
            </w:tcBorders>
            <w:vAlign w:val="center"/>
          </w:tcPr>
          <w:p>
            <w:pPr>
              <w:spacing w:before="80" w:after="80"/>
            </w:pPr>
            <w:r>
              <w:rPr>
                <w:rFonts w:ascii="Arial" w:hAnsi="Arial"/>
                <w:b/>
                <w:color w:val="5064A0"/>
                <w:sz w:val="16"/>
              </w:rPr>
              <w:t>💰 Cheque</w:t>
              <w:br/>
            </w:r>
            <w:r>
              <w:rPr>
                <w:rFonts w:ascii="Arial" w:hAnsi="Arial"/>
                <w:color w:val="141E3C"/>
                <w:sz w:val="18"/>
              </w:rPr>
              <w:t>$300K – $1.5M</w:t>
            </w:r>
          </w:p>
        </w:tc>
        <w:tc>
          <w:tcPr>
            <w:tcW w:type="dxa" w:w="2340"/>
            <w:shd w:val="clear" w:color="auto" w:fill="F0F4FF"/>
            <w:tcW w:w="3860" w:type="dxa"/>
            <w:tcBorders>
              <w:top w:val="single" w:sz="2" w:space="0" w:color="C5D0E8"/>
              <w:left w:val="single" w:sz="2" w:space="0" w:color="C5D0E8"/>
              <w:bottom w:val="single" w:sz="2" w:space="0" w:color="C5D0E8"/>
              <w:right w:val="single" w:sz="2" w:space="0" w:color="C5D0E8"/>
            </w:tcBorders>
            <w:vAlign w:val="center"/>
          </w:tcPr>
          <w:p>
            <w:pPr>
              <w:spacing w:before="80" w:after="80"/>
            </w:pPr>
            <w:r>
              <w:rPr>
                <w:rFonts w:ascii="Arial" w:hAnsi="Arial"/>
                <w:b/>
                <w:color w:val="5064A0"/>
                <w:sz w:val="16"/>
              </w:rPr>
              <w:t>🏦 Fund size</w:t>
              <w:br/>
            </w:r>
            <w:r>
              <w:rPr>
                <w:rFonts w:ascii="Arial" w:hAnsi="Arial"/>
                <w:color w:val="141E3C"/>
                <w:sz w:val="18"/>
              </w:rPr>
              <w:t>Fund II active (raised 2024)</w:t>
            </w:r>
          </w:p>
        </w:tc>
      </w:tr>
    </w:tbl>
    <w:p>
      <w:pPr>
        <w:spacing w:after="80"/>
      </w:pPr>
    </w:p>
    <w:p>
      <w:pPr>
        <w:spacing w:after="80" w:before="0"/>
        <w:jc w:val="left"/>
      </w:pPr>
      <w:r>
        <w:rPr>
          <w:rFonts w:ascii="Arial" w:hAnsi="Arial"/>
          <w:b/>
          <w:i w:val="0"/>
          <w:color w:val="283C78"/>
          <w:sz w:val="20"/>
        </w:rPr>
        <w:t>Sectors: SaaS, B2B, enterprise software — operator-founder focus</w:t>
      </w:r>
    </w:p>
    <w:p>
      <w:pPr>
        <w:spacing w:after="120" w:before="0"/>
        <w:jc w:val="left"/>
      </w:pPr>
      <w:r>
        <w:rPr>
          <w:rFonts w:ascii="Arial" w:hAnsi="Arial"/>
          <w:b w:val="0"/>
          <w:i/>
          <w:color w:val="505064"/>
          <w:sz w:val="20"/>
        </w:rPr>
        <w:t>Notable portfolio: Multiple B2B SaaS companies in the Bengaluru ecosystem</w:t>
      </w:r>
    </w:p>
    <w:p>
      <w:pPr>
        <w:spacing w:after="40" w:before="0"/>
        <w:jc w:val="left"/>
      </w:pPr>
      <w:r>
        <w:rPr>
          <w:rFonts w:ascii="Arial" w:hAnsi="Arial"/>
          <w:b/>
          <w:i w:val="0"/>
          <w:color w:val="3C3C50"/>
          <w:sz w:val="20"/>
        </w:rPr>
        <w:t>Investment thesis</w:t>
      </w:r>
    </w:p>
    <w:p>
      <w:pPr>
        <w:spacing w:after="120" w:before="0"/>
        <w:jc w:val="left"/>
      </w:pPr>
      <w:r>
        <w:rPr>
          <w:rFonts w:ascii="Arial" w:hAnsi="Arial"/>
          <w:b w:val="0"/>
          <w:i w:val="0"/>
          <w:sz w:val="22"/>
        </w:rPr>
        <w:t>Foster Ventures is thesis-oriented in a way few micro VCs are. They primarily back seasoned operators — founders who have worked at high-growth companies and are bringing that operational experience to bear on a new problem. They move slower than some micro VCs because they do deeper diligence, but their portfolio companies benefit from strong operator networks and enterprise sales expertise.</w:t>
      </w:r>
    </w:p>
    <w:p>
      <w:pPr>
        <w:spacing w:after="40" w:before="0"/>
        <w:jc w:val="left"/>
      </w:pPr>
      <w:r>
        <w:rPr>
          <w:rFonts w:ascii="Arial" w:hAnsi="Arial"/>
          <w:b/>
          <w:i w:val="0"/>
          <w:color w:val="3C3C50"/>
          <w:sz w:val="20"/>
        </w:rPr>
        <w:t>How to approach</w:t>
      </w:r>
    </w:p>
    <w:p>
      <w:pPr>
        <w:spacing w:after="120" w:before="0"/>
        <w:jc w:val="left"/>
      </w:pPr>
      <w:r>
        <w:rPr>
          <w:rFonts w:ascii="Arial" w:hAnsi="Arial"/>
          <w:b w:val="0"/>
          <w:i w:val="0"/>
          <w:sz w:val="22"/>
        </w:rPr>
        <w:t>Foster's partners look for founder-operator credentials upfront. Before you pitch, articulate clearly what your operating experience taught you that the rest of the market is missing. A 'why me' that is grounded in specific operational insight will move them faster than any market size argument.</w:t>
      </w:r>
    </w:p>
    <w:tbl>
      <w:tblPr>
        <w:tblW w:type="auto" w:w="0"/>
        <w:jc w:val="center"/>
        <w:tblLook w:firstColumn="1" w:firstRow="1" w:lastColumn="0" w:lastRow="0" w:noHBand="0" w:noVBand="1" w:val="04A0"/>
      </w:tblPr>
      <w:tblGrid>
        <w:gridCol w:w="9360"/>
      </w:tblGrid>
      <w:tr>
        <w:tc>
          <w:tcPr>
            <w:tcW w:type="dxa" w:w="9360"/>
            <w:shd w:val="clear" w:color="auto" w:fill="E8F5E9"/>
            <w:tcBorders>
              <w:top w:val="single" w:sz="6" w:space="0" w:color="4CAF50"/>
              <w:left w:val="single" w:sz="6" w:space="0" w:color="4CAF50"/>
              <w:bottom w:val="single" w:sz="6" w:space="0" w:color="4CAF50"/>
              <w:right w:val="single" w:sz="6" w:space="0" w:color="4CAF50"/>
            </w:tcBorders>
          </w:tcPr>
          <w:p>
            <w:pPr>
              <w:spacing w:before="120" w:after="120"/>
            </w:pPr>
            <w:r>
              <w:rPr>
                <w:rFonts w:ascii="Arial" w:hAnsi="Arial"/>
                <w:b/>
                <w:color w:val="14501E"/>
                <w:sz w:val="20"/>
              </w:rPr>
              <w:t xml:space="preserve">✅  Best for: </w:t>
            </w:r>
            <w:r>
              <w:rPr>
                <w:rFonts w:ascii="Arial" w:hAnsi="Arial"/>
                <w:color w:val="14501E"/>
                <w:sz w:val="22"/>
              </w:rPr>
              <w:t>Second-time founders or operators-turned-founders building B2B SaaS products where their domain expertise is the primary competitive advantage.</w:t>
            </w:r>
          </w:p>
        </w:tc>
      </w:tr>
    </w:tbl>
    <w:p>
      <w:pPr>
        <w:spacing w:after="120"/>
      </w:pPr>
    </w:p>
    <w:p>
      <w:pPr>
        <w:pStyle w:val="Heading3"/>
        <w:spacing w:before="200" w:after="120"/>
      </w:pPr>
      <w:r>
        <w:rPr>
          <w:rFonts w:ascii="Arial" w:hAnsi="Arial"/>
          <w:b/>
          <w:color w:val="142864"/>
          <w:sz w:val="26"/>
        </w:rPr>
        <w:t>8. Z21 Ventures</w:t>
      </w: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F0F4FF"/>
            <w:tcW w:w="1600" w:type="dxa"/>
            <w:tcBorders>
              <w:top w:val="single" w:sz="2" w:space="0" w:color="C5D0E8"/>
              <w:left w:val="single" w:sz="2" w:space="0" w:color="C5D0E8"/>
              <w:bottom w:val="single" w:sz="2" w:space="0" w:color="C5D0E8"/>
              <w:right w:val="single" w:sz="2" w:space="0" w:color="C5D0E8"/>
            </w:tcBorders>
            <w:vAlign w:val="center"/>
          </w:tcPr>
          <w:p>
            <w:pPr>
              <w:spacing w:before="80" w:after="80"/>
            </w:pPr>
            <w:r>
              <w:rPr>
                <w:rFonts w:ascii="Arial" w:hAnsi="Arial"/>
                <w:b/>
                <w:color w:val="5064A0"/>
                <w:sz w:val="16"/>
              </w:rPr>
              <w:t>🏢 HQ</w:t>
              <w:br/>
            </w:r>
            <w:r>
              <w:rPr>
                <w:rFonts w:ascii="Arial" w:hAnsi="Arial"/>
                <w:color w:val="141E3C"/>
                <w:sz w:val="18"/>
              </w:rPr>
              <w:t>Bengaluru</w:t>
            </w:r>
          </w:p>
        </w:tc>
        <w:tc>
          <w:tcPr>
            <w:tcW w:type="dxa" w:w="2340"/>
            <w:shd w:val="clear" w:color="auto" w:fill="F0F4FF"/>
            <w:tcW w:w="1700" w:type="dxa"/>
            <w:tcBorders>
              <w:top w:val="single" w:sz="2" w:space="0" w:color="C5D0E8"/>
              <w:left w:val="single" w:sz="2" w:space="0" w:color="C5D0E8"/>
              <w:bottom w:val="single" w:sz="2" w:space="0" w:color="C5D0E8"/>
              <w:right w:val="single" w:sz="2" w:space="0" w:color="C5D0E8"/>
            </w:tcBorders>
            <w:vAlign w:val="center"/>
          </w:tcPr>
          <w:p>
            <w:pPr>
              <w:spacing w:before="80" w:after="80"/>
            </w:pPr>
            <w:r>
              <w:rPr>
                <w:rFonts w:ascii="Arial" w:hAnsi="Arial"/>
                <w:b/>
                <w:color w:val="5064A0"/>
                <w:sz w:val="16"/>
              </w:rPr>
              <w:t>📈 Stage</w:t>
              <w:br/>
            </w:r>
            <w:r>
              <w:rPr>
                <w:rFonts w:ascii="Arial" w:hAnsi="Arial"/>
                <w:color w:val="141E3C"/>
                <w:sz w:val="18"/>
              </w:rPr>
              <w:t>Pre-seed to Seed</w:t>
            </w:r>
          </w:p>
        </w:tc>
        <w:tc>
          <w:tcPr>
            <w:tcW w:type="dxa" w:w="2340"/>
            <w:shd w:val="clear" w:color="auto" w:fill="F0F4FF"/>
            <w:tcW w:w="1800" w:type="dxa"/>
            <w:tcBorders>
              <w:top w:val="single" w:sz="2" w:space="0" w:color="C5D0E8"/>
              <w:left w:val="single" w:sz="2" w:space="0" w:color="C5D0E8"/>
              <w:bottom w:val="single" w:sz="2" w:space="0" w:color="C5D0E8"/>
              <w:right w:val="single" w:sz="2" w:space="0" w:color="C5D0E8"/>
            </w:tcBorders>
            <w:vAlign w:val="center"/>
          </w:tcPr>
          <w:p>
            <w:pPr>
              <w:spacing w:before="80" w:after="80"/>
            </w:pPr>
            <w:r>
              <w:rPr>
                <w:rFonts w:ascii="Arial" w:hAnsi="Arial"/>
                <w:b/>
                <w:color w:val="5064A0"/>
                <w:sz w:val="16"/>
              </w:rPr>
              <w:t>💰 Cheque</w:t>
              <w:br/>
            </w:r>
            <w:r>
              <w:rPr>
                <w:rFonts w:ascii="Arial" w:hAnsi="Arial"/>
                <w:color w:val="141E3C"/>
                <w:sz w:val="18"/>
              </w:rPr>
              <w:t>$200K – $1M</w:t>
            </w:r>
          </w:p>
        </w:tc>
        <w:tc>
          <w:tcPr>
            <w:tcW w:type="dxa" w:w="2340"/>
            <w:shd w:val="clear" w:color="auto" w:fill="F0F4FF"/>
            <w:tcW w:w="3860" w:type="dxa"/>
            <w:tcBorders>
              <w:top w:val="single" w:sz="2" w:space="0" w:color="C5D0E8"/>
              <w:left w:val="single" w:sz="2" w:space="0" w:color="C5D0E8"/>
              <w:bottom w:val="single" w:sz="2" w:space="0" w:color="C5D0E8"/>
              <w:right w:val="single" w:sz="2" w:space="0" w:color="C5D0E8"/>
            </w:tcBorders>
            <w:vAlign w:val="center"/>
          </w:tcPr>
          <w:p>
            <w:pPr>
              <w:spacing w:before="80" w:after="80"/>
            </w:pPr>
            <w:r>
              <w:rPr>
                <w:rFonts w:ascii="Arial" w:hAnsi="Arial"/>
                <w:b/>
                <w:color w:val="5064A0"/>
                <w:sz w:val="16"/>
              </w:rPr>
              <w:t>🏦 Fund size</w:t>
              <w:br/>
            </w:r>
            <w:r>
              <w:rPr>
                <w:rFonts w:ascii="Arial" w:hAnsi="Arial"/>
                <w:color w:val="141E3C"/>
                <w:sz w:val="18"/>
              </w:rPr>
              <w:t>Fund II active</w:t>
            </w:r>
          </w:p>
        </w:tc>
      </w:tr>
    </w:tbl>
    <w:p>
      <w:pPr>
        <w:spacing w:after="80"/>
      </w:pPr>
    </w:p>
    <w:p>
      <w:pPr>
        <w:spacing w:after="80" w:before="0"/>
        <w:jc w:val="left"/>
      </w:pPr>
      <w:r>
        <w:rPr>
          <w:rFonts w:ascii="Arial" w:hAnsi="Arial"/>
          <w:b/>
          <w:i w:val="0"/>
          <w:color w:val="283C78"/>
          <w:sz w:val="20"/>
        </w:rPr>
        <w:t>Sectors: SaaS, AI, developer tools, fintech infrastructure</w:t>
      </w:r>
    </w:p>
    <w:p>
      <w:pPr>
        <w:spacing w:after="120" w:before="0"/>
        <w:jc w:val="left"/>
      </w:pPr>
      <w:r>
        <w:rPr>
          <w:rFonts w:ascii="Arial" w:hAnsi="Arial"/>
          <w:b w:val="0"/>
          <w:i/>
          <w:color w:val="505064"/>
          <w:sz w:val="20"/>
        </w:rPr>
        <w:t>Notable portfolio: Multiple early-stage SaaS and AI companies</w:t>
      </w:r>
    </w:p>
    <w:p>
      <w:pPr>
        <w:spacing w:after="40" w:before="0"/>
        <w:jc w:val="left"/>
      </w:pPr>
      <w:r>
        <w:rPr>
          <w:rFonts w:ascii="Arial" w:hAnsi="Arial"/>
          <w:b/>
          <w:i w:val="0"/>
          <w:color w:val="3C3C50"/>
          <w:sz w:val="20"/>
        </w:rPr>
        <w:t>Investment thesis</w:t>
      </w:r>
    </w:p>
    <w:p>
      <w:pPr>
        <w:spacing w:after="120" w:before="0"/>
        <w:jc w:val="left"/>
      </w:pPr>
      <w:r>
        <w:rPr>
          <w:rFonts w:ascii="Arial" w:hAnsi="Arial"/>
          <w:b w:val="0"/>
          <w:i w:val="0"/>
          <w:sz w:val="22"/>
        </w:rPr>
        <w:t>Z21 Ventures backs founders building software products that benefit from the current wave of AI infrastructure — whether that is AI-native SaaS, developer tools, or fintech infrastructure built on new AI capabilities. They are particularly attuned to the 'Service as Software' category shift that Pranav Pai at 3one4 has articulated — where AI allows startups to become the service, not just the tool.</w:t>
      </w:r>
    </w:p>
    <w:p>
      <w:pPr>
        <w:spacing w:after="40" w:before="0"/>
        <w:jc w:val="left"/>
      </w:pPr>
      <w:r>
        <w:rPr>
          <w:rFonts w:ascii="Arial" w:hAnsi="Arial"/>
          <w:b/>
          <w:i w:val="0"/>
          <w:color w:val="3C3C50"/>
          <w:sz w:val="20"/>
        </w:rPr>
        <w:t>How to approach</w:t>
      </w:r>
    </w:p>
    <w:p>
      <w:pPr>
        <w:spacing w:after="120" w:before="0"/>
        <w:jc w:val="left"/>
      </w:pPr>
      <w:r>
        <w:rPr>
          <w:rFonts w:ascii="Arial" w:hAnsi="Arial"/>
          <w:b w:val="0"/>
          <w:i w:val="0"/>
          <w:sz w:val="22"/>
        </w:rPr>
        <w:t>Z21 partners engage well with technical founders who have a strong hypothesis about how AI changes the economics of their market. Come with a clear technology architecture argument, not just a product roadmap.</w:t>
      </w:r>
    </w:p>
    <w:tbl>
      <w:tblPr>
        <w:tblW w:type="auto" w:w="0"/>
        <w:jc w:val="center"/>
        <w:tblLook w:firstColumn="1" w:firstRow="1" w:lastColumn="0" w:lastRow="0" w:noHBand="0" w:noVBand="1" w:val="04A0"/>
      </w:tblPr>
      <w:tblGrid>
        <w:gridCol w:w="9360"/>
      </w:tblGrid>
      <w:tr>
        <w:tc>
          <w:tcPr>
            <w:tcW w:type="dxa" w:w="9360"/>
            <w:shd w:val="clear" w:color="auto" w:fill="E8F5E9"/>
            <w:tcBorders>
              <w:top w:val="single" w:sz="6" w:space="0" w:color="4CAF50"/>
              <w:left w:val="single" w:sz="6" w:space="0" w:color="4CAF50"/>
              <w:bottom w:val="single" w:sz="6" w:space="0" w:color="4CAF50"/>
              <w:right w:val="single" w:sz="6" w:space="0" w:color="4CAF50"/>
            </w:tcBorders>
          </w:tcPr>
          <w:p>
            <w:pPr>
              <w:spacing w:before="120" w:after="120"/>
            </w:pPr>
            <w:r>
              <w:rPr>
                <w:rFonts w:ascii="Arial" w:hAnsi="Arial"/>
                <w:b/>
                <w:color w:val="14501E"/>
                <w:sz w:val="20"/>
              </w:rPr>
              <w:t xml:space="preserve">✅  Best for: </w:t>
            </w:r>
            <w:r>
              <w:rPr>
                <w:rFonts w:ascii="Arial" w:hAnsi="Arial"/>
                <w:color w:val="14501E"/>
                <w:sz w:val="22"/>
              </w:rPr>
              <w:t>Technical founders building AI-native or AI-enhanced software where the technology moat is the primary defensibility argument.</w:t>
            </w:r>
          </w:p>
        </w:tc>
      </w:tr>
    </w:tbl>
    <w:p>
      <w:pPr>
        <w:spacing w:after="120"/>
      </w:pPr>
    </w:p>
    <w:p>
      <w:pPr>
        <w:pStyle w:val="Heading3"/>
        <w:spacing w:before="200" w:after="120"/>
      </w:pPr>
      <w:r>
        <w:rPr>
          <w:rFonts w:ascii="Arial" w:hAnsi="Arial"/>
          <w:b/>
          <w:color w:val="142864"/>
          <w:sz w:val="26"/>
        </w:rPr>
        <w:t>9. Eximius Ventures</w:t>
      </w: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F0F4FF"/>
            <w:tcW w:w="1600" w:type="dxa"/>
            <w:tcBorders>
              <w:top w:val="single" w:sz="2" w:space="0" w:color="C5D0E8"/>
              <w:left w:val="single" w:sz="2" w:space="0" w:color="C5D0E8"/>
              <w:bottom w:val="single" w:sz="2" w:space="0" w:color="C5D0E8"/>
              <w:right w:val="single" w:sz="2" w:space="0" w:color="C5D0E8"/>
            </w:tcBorders>
            <w:vAlign w:val="center"/>
          </w:tcPr>
          <w:p>
            <w:pPr>
              <w:spacing w:before="80" w:after="80"/>
            </w:pPr>
            <w:r>
              <w:rPr>
                <w:rFonts w:ascii="Arial" w:hAnsi="Arial"/>
                <w:b/>
                <w:color w:val="5064A0"/>
                <w:sz w:val="16"/>
              </w:rPr>
              <w:t>🏢 HQ</w:t>
              <w:br/>
            </w:r>
            <w:r>
              <w:rPr>
                <w:rFonts w:ascii="Arial" w:hAnsi="Arial"/>
                <w:color w:val="141E3C"/>
                <w:sz w:val="18"/>
              </w:rPr>
              <w:t>Gurugram</w:t>
            </w:r>
          </w:p>
        </w:tc>
        <w:tc>
          <w:tcPr>
            <w:tcW w:type="dxa" w:w="2340"/>
            <w:shd w:val="clear" w:color="auto" w:fill="F0F4FF"/>
            <w:tcW w:w="1700" w:type="dxa"/>
            <w:tcBorders>
              <w:top w:val="single" w:sz="2" w:space="0" w:color="C5D0E8"/>
              <w:left w:val="single" w:sz="2" w:space="0" w:color="C5D0E8"/>
              <w:bottom w:val="single" w:sz="2" w:space="0" w:color="C5D0E8"/>
              <w:right w:val="single" w:sz="2" w:space="0" w:color="C5D0E8"/>
            </w:tcBorders>
            <w:vAlign w:val="center"/>
          </w:tcPr>
          <w:p>
            <w:pPr>
              <w:spacing w:before="80" w:after="80"/>
            </w:pPr>
            <w:r>
              <w:rPr>
                <w:rFonts w:ascii="Arial" w:hAnsi="Arial"/>
                <w:b/>
                <w:color w:val="5064A0"/>
                <w:sz w:val="16"/>
              </w:rPr>
              <w:t>📈 Stage</w:t>
              <w:br/>
            </w:r>
            <w:r>
              <w:rPr>
                <w:rFonts w:ascii="Arial" w:hAnsi="Arial"/>
                <w:color w:val="141E3C"/>
                <w:sz w:val="18"/>
              </w:rPr>
              <w:t>Pre-seed (idea to early traction)</w:t>
            </w:r>
          </w:p>
        </w:tc>
        <w:tc>
          <w:tcPr>
            <w:tcW w:type="dxa" w:w="2340"/>
            <w:shd w:val="clear" w:color="auto" w:fill="F0F4FF"/>
            <w:tcW w:w="1800" w:type="dxa"/>
            <w:tcBorders>
              <w:top w:val="single" w:sz="2" w:space="0" w:color="C5D0E8"/>
              <w:left w:val="single" w:sz="2" w:space="0" w:color="C5D0E8"/>
              <w:bottom w:val="single" w:sz="2" w:space="0" w:color="C5D0E8"/>
              <w:right w:val="single" w:sz="2" w:space="0" w:color="C5D0E8"/>
            </w:tcBorders>
            <w:vAlign w:val="center"/>
          </w:tcPr>
          <w:p>
            <w:pPr>
              <w:spacing w:before="80" w:after="80"/>
            </w:pPr>
            <w:r>
              <w:rPr>
                <w:rFonts w:ascii="Arial" w:hAnsi="Arial"/>
                <w:b/>
                <w:color w:val="5064A0"/>
                <w:sz w:val="16"/>
              </w:rPr>
              <w:t>💰 Cheque</w:t>
              <w:br/>
            </w:r>
            <w:r>
              <w:rPr>
                <w:rFonts w:ascii="Arial" w:hAnsi="Arial"/>
                <w:color w:val="141E3C"/>
                <w:sz w:val="18"/>
              </w:rPr>
              <w:t>$200K – $500K (initial); up to $1M with follow-on</w:t>
            </w:r>
          </w:p>
        </w:tc>
        <w:tc>
          <w:tcPr>
            <w:tcW w:type="dxa" w:w="2340"/>
            <w:shd w:val="clear" w:color="auto" w:fill="F0F4FF"/>
            <w:tcW w:w="3860" w:type="dxa"/>
            <w:tcBorders>
              <w:top w:val="single" w:sz="2" w:space="0" w:color="C5D0E8"/>
              <w:left w:val="single" w:sz="2" w:space="0" w:color="C5D0E8"/>
              <w:bottom w:val="single" w:sz="2" w:space="0" w:color="C5D0E8"/>
              <w:right w:val="single" w:sz="2" w:space="0" w:color="C5D0E8"/>
            </w:tcBorders>
            <w:vAlign w:val="center"/>
          </w:tcPr>
          <w:p>
            <w:pPr>
              <w:spacing w:before="80" w:after="80"/>
            </w:pPr>
            <w:r>
              <w:rPr>
                <w:rFonts w:ascii="Arial" w:hAnsi="Arial"/>
                <w:b/>
                <w:color w:val="5064A0"/>
                <w:sz w:val="16"/>
              </w:rPr>
              <w:t>🏦 Fund size</w:t>
              <w:br/>
            </w:r>
            <w:r>
              <w:rPr>
                <w:rFonts w:ascii="Arial" w:hAnsi="Arial"/>
                <w:color w:val="141E3C"/>
                <w:sz w:val="18"/>
              </w:rPr>
              <w:t>SEBI-registered Cat 1 AIF; India's first dedicated pre-seed fund</w:t>
            </w:r>
          </w:p>
        </w:tc>
      </w:tr>
    </w:tbl>
    <w:p>
      <w:pPr>
        <w:spacing w:after="80"/>
      </w:pPr>
    </w:p>
    <w:p>
      <w:pPr>
        <w:spacing w:after="80" w:before="0"/>
        <w:jc w:val="left"/>
      </w:pPr>
      <w:r>
        <w:rPr>
          <w:rFonts w:ascii="Arial" w:hAnsi="Arial"/>
          <w:b/>
          <w:i w:val="0"/>
          <w:color w:val="283C78"/>
          <w:sz w:val="20"/>
        </w:rPr>
        <w:t>Sectors: Fintech, gaming, digital consumer, mission-driven startups</w:t>
      </w:r>
    </w:p>
    <w:p>
      <w:pPr>
        <w:spacing w:after="120" w:before="0"/>
        <w:jc w:val="left"/>
      </w:pPr>
      <w:r>
        <w:rPr>
          <w:rFonts w:ascii="Arial" w:hAnsi="Arial"/>
          <w:b w:val="0"/>
          <w:i/>
          <w:color w:val="505064"/>
          <w:sz w:val="20"/>
        </w:rPr>
        <w:t>Notable portfolio: 30 Sundays, portfolio across fintech and consumer digital</w:t>
      </w:r>
    </w:p>
    <w:p>
      <w:pPr>
        <w:spacing w:after="40" w:before="0"/>
        <w:jc w:val="left"/>
      </w:pPr>
      <w:r>
        <w:rPr>
          <w:rFonts w:ascii="Arial" w:hAnsi="Arial"/>
          <w:b/>
          <w:i w:val="0"/>
          <w:color w:val="3C3C50"/>
          <w:sz w:val="20"/>
        </w:rPr>
        <w:t>Investment thesis</w:t>
      </w:r>
    </w:p>
    <w:p>
      <w:pPr>
        <w:spacing w:after="120" w:before="0"/>
        <w:jc w:val="left"/>
      </w:pPr>
      <w:r>
        <w:rPr>
          <w:rFonts w:ascii="Arial" w:hAnsi="Arial"/>
          <w:b w:val="0"/>
          <w:i w:val="0"/>
          <w:sz w:val="22"/>
        </w:rPr>
        <w:t>Eximius bills itself as India's first dedicated pre-seed fund — they call their investment 'Cheque Zero', and mean it literally. They back founders before incorporation, before traction, sometimes before a fully built product. Their 3C framework — Content, Capital, Community — means they invest platform support alongside capital. They published India's first pre-seed fundraising guide, which tells you a lot about how they think about the category.</w:t>
      </w:r>
    </w:p>
    <w:p>
      <w:pPr>
        <w:spacing w:after="40" w:before="0"/>
        <w:jc w:val="left"/>
      </w:pPr>
      <w:r>
        <w:rPr>
          <w:rFonts w:ascii="Arial" w:hAnsi="Arial"/>
          <w:b/>
          <w:i w:val="0"/>
          <w:color w:val="3C3C50"/>
          <w:sz w:val="20"/>
        </w:rPr>
        <w:t>How to approach</w:t>
      </w:r>
    </w:p>
    <w:p>
      <w:pPr>
        <w:spacing w:after="120" w:before="0"/>
        <w:jc w:val="left"/>
      </w:pPr>
      <w:r>
        <w:rPr>
          <w:rFonts w:ascii="Arial" w:hAnsi="Arial"/>
          <w:b w:val="0"/>
          <w:i w:val="0"/>
          <w:sz w:val="22"/>
        </w:rPr>
        <w:t>Eximius has a structured application on their website. Their process is more formal than most micro VCs at this stage — expect them to probe deeply on your conviction for the problem, your understanding of the customer, and your plan for the first 90 days post-funding.</w:t>
      </w:r>
    </w:p>
    <w:tbl>
      <w:tblPr>
        <w:tblW w:type="auto" w:w="0"/>
        <w:jc w:val="center"/>
        <w:tblLook w:firstColumn="1" w:firstRow="1" w:lastColumn="0" w:lastRow="0" w:noHBand="0" w:noVBand="1" w:val="04A0"/>
      </w:tblPr>
      <w:tblGrid>
        <w:gridCol w:w="9360"/>
      </w:tblGrid>
      <w:tr>
        <w:tc>
          <w:tcPr>
            <w:tcW w:type="dxa" w:w="9360"/>
            <w:shd w:val="clear" w:color="auto" w:fill="E8F5E9"/>
            <w:tcBorders>
              <w:top w:val="single" w:sz="6" w:space="0" w:color="4CAF50"/>
              <w:left w:val="single" w:sz="6" w:space="0" w:color="4CAF50"/>
              <w:bottom w:val="single" w:sz="6" w:space="0" w:color="4CAF50"/>
              <w:right w:val="single" w:sz="6" w:space="0" w:color="4CAF50"/>
            </w:tcBorders>
          </w:tcPr>
          <w:p>
            <w:pPr>
              <w:spacing w:before="120" w:after="120"/>
            </w:pPr>
            <w:r>
              <w:rPr>
                <w:rFonts w:ascii="Arial" w:hAnsi="Arial"/>
                <w:b/>
                <w:color w:val="14501E"/>
                <w:sz w:val="20"/>
              </w:rPr>
              <w:t xml:space="preserve">✅  Best for: </w:t>
            </w:r>
            <w:r>
              <w:rPr>
                <w:rFonts w:ascii="Arial" w:hAnsi="Arial"/>
                <w:color w:val="14501E"/>
                <w:sz w:val="22"/>
              </w:rPr>
              <w:t>Founders at the absolute earliest stage — pre-product, pre-incorporation — who want a structured, platform-supported first cheque from a fund that has made this stage its entire identity.</w:t>
            </w:r>
          </w:p>
        </w:tc>
      </w:tr>
    </w:tbl>
    <w:p>
      <w:pPr>
        <w:spacing w:after="120"/>
      </w:pPr>
    </w:p>
    <w:p>
      <w:pPr>
        <w:pStyle w:val="Heading2"/>
        <w:spacing w:before="360" w:after="160"/>
      </w:pPr>
      <w:r>
        <w:rPr>
          <w:rFonts w:ascii="Arial" w:hAnsi="Arial"/>
          <w:b/>
          <w:color w:val="A05000"/>
          <w:sz w:val="34"/>
        </w:rPr>
        <w:t>Category C — Consumer, D2C and Bharat-focused funds</w:t>
      </w:r>
    </w:p>
    <w:p>
      <w:pPr>
        <w:pStyle w:val="Heading3"/>
        <w:spacing w:before="200" w:after="120"/>
      </w:pPr>
      <w:r>
        <w:rPr>
          <w:rFonts w:ascii="Arial" w:hAnsi="Arial"/>
          <w:b/>
          <w:color w:val="142864"/>
          <w:sz w:val="26"/>
        </w:rPr>
        <w:t>10. Sauce.VC</w:t>
      </w: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F0F4FF"/>
            <w:tcW w:w="1600" w:type="dxa"/>
            <w:tcBorders>
              <w:top w:val="single" w:sz="2" w:space="0" w:color="C5D0E8"/>
              <w:left w:val="single" w:sz="2" w:space="0" w:color="C5D0E8"/>
              <w:bottom w:val="single" w:sz="2" w:space="0" w:color="C5D0E8"/>
              <w:right w:val="single" w:sz="2" w:space="0" w:color="C5D0E8"/>
            </w:tcBorders>
            <w:vAlign w:val="center"/>
          </w:tcPr>
          <w:p>
            <w:pPr>
              <w:spacing w:before="80" w:after="80"/>
            </w:pPr>
            <w:r>
              <w:rPr>
                <w:rFonts w:ascii="Arial" w:hAnsi="Arial"/>
                <w:b/>
                <w:color w:val="5064A0"/>
                <w:sz w:val="16"/>
              </w:rPr>
              <w:t>🏢 HQ</w:t>
              <w:br/>
            </w:r>
            <w:r>
              <w:rPr>
                <w:rFonts w:ascii="Arial" w:hAnsi="Arial"/>
                <w:color w:val="141E3C"/>
                <w:sz w:val="18"/>
              </w:rPr>
              <w:t>Bengaluru</w:t>
            </w:r>
          </w:p>
        </w:tc>
        <w:tc>
          <w:tcPr>
            <w:tcW w:type="dxa" w:w="2340"/>
            <w:shd w:val="clear" w:color="auto" w:fill="F0F4FF"/>
            <w:tcW w:w="1700" w:type="dxa"/>
            <w:tcBorders>
              <w:top w:val="single" w:sz="2" w:space="0" w:color="C5D0E8"/>
              <w:left w:val="single" w:sz="2" w:space="0" w:color="C5D0E8"/>
              <w:bottom w:val="single" w:sz="2" w:space="0" w:color="C5D0E8"/>
              <w:right w:val="single" w:sz="2" w:space="0" w:color="C5D0E8"/>
            </w:tcBorders>
            <w:vAlign w:val="center"/>
          </w:tcPr>
          <w:p>
            <w:pPr>
              <w:spacing w:before="80" w:after="80"/>
            </w:pPr>
            <w:r>
              <w:rPr>
                <w:rFonts w:ascii="Arial" w:hAnsi="Arial"/>
                <w:b/>
                <w:color w:val="5064A0"/>
                <w:sz w:val="16"/>
              </w:rPr>
              <w:t>📈 Stage</w:t>
              <w:br/>
            </w:r>
            <w:r>
              <w:rPr>
                <w:rFonts w:ascii="Arial" w:hAnsi="Arial"/>
                <w:color w:val="141E3C"/>
                <w:sz w:val="18"/>
              </w:rPr>
              <w:t>Pre-seed to Seed</w:t>
            </w:r>
          </w:p>
        </w:tc>
        <w:tc>
          <w:tcPr>
            <w:tcW w:type="dxa" w:w="2340"/>
            <w:shd w:val="clear" w:color="auto" w:fill="F0F4FF"/>
            <w:tcW w:w="1800" w:type="dxa"/>
            <w:tcBorders>
              <w:top w:val="single" w:sz="2" w:space="0" w:color="C5D0E8"/>
              <w:left w:val="single" w:sz="2" w:space="0" w:color="C5D0E8"/>
              <w:bottom w:val="single" w:sz="2" w:space="0" w:color="C5D0E8"/>
              <w:right w:val="single" w:sz="2" w:space="0" w:color="C5D0E8"/>
            </w:tcBorders>
            <w:vAlign w:val="center"/>
          </w:tcPr>
          <w:p>
            <w:pPr>
              <w:spacing w:before="80" w:after="80"/>
            </w:pPr>
            <w:r>
              <w:rPr>
                <w:rFonts w:ascii="Arial" w:hAnsi="Arial"/>
                <w:b/>
                <w:color w:val="5064A0"/>
                <w:sz w:val="16"/>
              </w:rPr>
              <w:t>💰 Cheque</w:t>
              <w:br/>
            </w:r>
            <w:r>
              <w:rPr>
                <w:rFonts w:ascii="Arial" w:hAnsi="Arial"/>
                <w:color w:val="141E3C"/>
                <w:sz w:val="18"/>
              </w:rPr>
              <w:t>$200K – $1M</w:t>
            </w:r>
          </w:p>
        </w:tc>
        <w:tc>
          <w:tcPr>
            <w:tcW w:type="dxa" w:w="2340"/>
            <w:shd w:val="clear" w:color="auto" w:fill="F0F4FF"/>
            <w:tcW w:w="3860" w:type="dxa"/>
            <w:tcBorders>
              <w:top w:val="single" w:sz="2" w:space="0" w:color="C5D0E8"/>
              <w:left w:val="single" w:sz="2" w:space="0" w:color="C5D0E8"/>
              <w:bottom w:val="single" w:sz="2" w:space="0" w:color="C5D0E8"/>
              <w:right w:val="single" w:sz="2" w:space="0" w:color="C5D0E8"/>
            </w:tcBorders>
            <w:vAlign w:val="center"/>
          </w:tcPr>
          <w:p>
            <w:pPr>
              <w:spacing w:before="80" w:after="80"/>
            </w:pPr>
            <w:r>
              <w:rPr>
                <w:rFonts w:ascii="Arial" w:hAnsi="Arial"/>
                <w:b/>
                <w:color w:val="5064A0"/>
                <w:sz w:val="16"/>
              </w:rPr>
              <w:t>🏦 Fund size</w:t>
              <w:br/>
            </w:r>
            <w:r>
              <w:rPr>
                <w:rFonts w:ascii="Arial" w:hAnsi="Arial"/>
                <w:color w:val="141E3C"/>
                <w:sz w:val="18"/>
              </w:rPr>
              <w:t>Fund II active (raised 2024–25)</w:t>
            </w:r>
          </w:p>
        </w:tc>
      </w:tr>
    </w:tbl>
    <w:p>
      <w:pPr>
        <w:spacing w:after="80"/>
      </w:pPr>
    </w:p>
    <w:p>
      <w:pPr>
        <w:spacing w:after="80" w:before="0"/>
        <w:jc w:val="left"/>
      </w:pPr>
      <w:r>
        <w:rPr>
          <w:rFonts w:ascii="Arial" w:hAnsi="Arial"/>
          <w:b/>
          <w:i w:val="0"/>
          <w:color w:val="283C78"/>
          <w:sz w:val="20"/>
        </w:rPr>
        <w:t>Sectors: D2C consumer brands, FMCG, lifestyle, personal care</w:t>
      </w:r>
    </w:p>
    <w:p>
      <w:pPr>
        <w:spacing w:after="120" w:before="0"/>
        <w:jc w:val="left"/>
      </w:pPr>
      <w:r>
        <w:rPr>
          <w:rFonts w:ascii="Arial" w:hAnsi="Arial"/>
          <w:b w:val="0"/>
          <w:i/>
          <w:color w:val="505064"/>
          <w:sz w:val="20"/>
        </w:rPr>
        <w:t>Notable portfolio: Multiple early-stage D2C brands across beauty, food, and lifestyle</w:t>
      </w:r>
    </w:p>
    <w:p>
      <w:pPr>
        <w:spacing w:after="40" w:before="0"/>
        <w:jc w:val="left"/>
      </w:pPr>
      <w:r>
        <w:rPr>
          <w:rFonts w:ascii="Arial" w:hAnsi="Arial"/>
          <w:b/>
          <w:i w:val="0"/>
          <w:color w:val="3C3C50"/>
          <w:sz w:val="20"/>
        </w:rPr>
        <w:t>Investment thesis</w:t>
      </w:r>
    </w:p>
    <w:p>
      <w:pPr>
        <w:spacing w:after="120" w:before="0"/>
        <w:jc w:val="left"/>
      </w:pPr>
      <w:r>
        <w:rPr>
          <w:rFonts w:ascii="Arial" w:hAnsi="Arial"/>
          <w:b w:val="0"/>
          <w:i w:val="0"/>
          <w:sz w:val="22"/>
        </w:rPr>
        <w:t>Sauce.VC is one of India's most focused D2C micro VCs — they back India's next generation of consumer brands at the earliest stage, before most funds will engage. They understand the specific dynamics of D2C brand building: channel strategy, unit economics at small scale, repeat purchase behaviour, and how to build brand equity without large marketing budgets.</w:t>
      </w:r>
    </w:p>
    <w:p>
      <w:pPr>
        <w:spacing w:after="40" w:before="0"/>
        <w:jc w:val="left"/>
      </w:pPr>
      <w:r>
        <w:rPr>
          <w:rFonts w:ascii="Arial" w:hAnsi="Arial"/>
          <w:b/>
          <w:i w:val="0"/>
          <w:color w:val="3C3C50"/>
          <w:sz w:val="20"/>
        </w:rPr>
        <w:t>How to approach</w:t>
      </w:r>
    </w:p>
    <w:p>
      <w:pPr>
        <w:spacing w:after="120" w:before="0"/>
        <w:jc w:val="left"/>
      </w:pPr>
      <w:r>
        <w:rPr>
          <w:rFonts w:ascii="Arial" w:hAnsi="Arial"/>
          <w:b w:val="0"/>
          <w:i w:val="0"/>
          <w:sz w:val="22"/>
        </w:rPr>
        <w:t>Come with retention data, not just acquisition data. Sauce.VC looks for early signals of genuine consumer love — repeat purchases, NPS scores, or qualitative evidence that your customers tell others about you. Brand story and founder-brand fit matter as much as the numbers at this stage.</w:t>
      </w:r>
    </w:p>
    <w:tbl>
      <w:tblPr>
        <w:tblW w:type="auto" w:w="0"/>
        <w:jc w:val="center"/>
        <w:tblLook w:firstColumn="1" w:firstRow="1" w:lastColumn="0" w:lastRow="0" w:noHBand="0" w:noVBand="1" w:val="04A0"/>
      </w:tblPr>
      <w:tblGrid>
        <w:gridCol w:w="9360"/>
      </w:tblGrid>
      <w:tr>
        <w:tc>
          <w:tcPr>
            <w:tcW w:type="dxa" w:w="9360"/>
            <w:shd w:val="clear" w:color="auto" w:fill="E8F5E9"/>
            <w:tcBorders>
              <w:top w:val="single" w:sz="6" w:space="0" w:color="4CAF50"/>
              <w:left w:val="single" w:sz="6" w:space="0" w:color="4CAF50"/>
              <w:bottom w:val="single" w:sz="6" w:space="0" w:color="4CAF50"/>
              <w:right w:val="single" w:sz="6" w:space="0" w:color="4CAF50"/>
            </w:tcBorders>
          </w:tcPr>
          <w:p>
            <w:pPr>
              <w:spacing w:before="120" w:after="120"/>
            </w:pPr>
            <w:r>
              <w:rPr>
                <w:rFonts w:ascii="Arial" w:hAnsi="Arial"/>
                <w:b/>
                <w:color w:val="14501E"/>
                <w:sz w:val="20"/>
              </w:rPr>
              <w:t xml:space="preserve">✅  Best for: </w:t>
            </w:r>
            <w:r>
              <w:rPr>
                <w:rFonts w:ascii="Arial" w:hAnsi="Arial"/>
                <w:color w:val="14501E"/>
                <w:sz w:val="22"/>
              </w:rPr>
              <w:t>Founders building D2C or consumer brands in beauty, wellness, food, or lifestyle who have early customers but need capital to test the repeatability of their model.</w:t>
            </w:r>
          </w:p>
        </w:tc>
      </w:tr>
    </w:tbl>
    <w:p>
      <w:pPr>
        <w:spacing w:after="120"/>
      </w:pPr>
    </w:p>
    <w:p>
      <w:pPr>
        <w:pStyle w:val="Heading3"/>
        <w:spacing w:before="200" w:after="120"/>
      </w:pPr>
      <w:r>
        <w:rPr>
          <w:rFonts w:ascii="Arial" w:hAnsi="Arial"/>
          <w:b/>
          <w:color w:val="142864"/>
          <w:sz w:val="26"/>
        </w:rPr>
        <w:t>11. Multiply Ventures</w:t>
      </w: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F0F4FF"/>
            <w:tcW w:w="1600" w:type="dxa"/>
            <w:tcBorders>
              <w:top w:val="single" w:sz="2" w:space="0" w:color="C5D0E8"/>
              <w:left w:val="single" w:sz="2" w:space="0" w:color="C5D0E8"/>
              <w:bottom w:val="single" w:sz="2" w:space="0" w:color="C5D0E8"/>
              <w:right w:val="single" w:sz="2" w:space="0" w:color="C5D0E8"/>
            </w:tcBorders>
            <w:vAlign w:val="center"/>
          </w:tcPr>
          <w:p>
            <w:pPr>
              <w:spacing w:before="80" w:after="80"/>
            </w:pPr>
            <w:r>
              <w:rPr>
                <w:rFonts w:ascii="Arial" w:hAnsi="Arial"/>
                <w:b/>
                <w:color w:val="5064A0"/>
                <w:sz w:val="16"/>
              </w:rPr>
              <w:t>🏢 HQ</w:t>
              <w:br/>
            </w:r>
            <w:r>
              <w:rPr>
                <w:rFonts w:ascii="Arial" w:hAnsi="Arial"/>
                <w:color w:val="141E3C"/>
                <w:sz w:val="18"/>
              </w:rPr>
              <w:t>Mumbai</w:t>
            </w:r>
          </w:p>
        </w:tc>
        <w:tc>
          <w:tcPr>
            <w:tcW w:type="dxa" w:w="2340"/>
            <w:shd w:val="clear" w:color="auto" w:fill="F0F4FF"/>
            <w:tcW w:w="1700" w:type="dxa"/>
            <w:tcBorders>
              <w:top w:val="single" w:sz="2" w:space="0" w:color="C5D0E8"/>
              <w:left w:val="single" w:sz="2" w:space="0" w:color="C5D0E8"/>
              <w:bottom w:val="single" w:sz="2" w:space="0" w:color="C5D0E8"/>
              <w:right w:val="single" w:sz="2" w:space="0" w:color="C5D0E8"/>
            </w:tcBorders>
            <w:vAlign w:val="center"/>
          </w:tcPr>
          <w:p>
            <w:pPr>
              <w:spacing w:before="80" w:after="80"/>
            </w:pPr>
            <w:r>
              <w:rPr>
                <w:rFonts w:ascii="Arial" w:hAnsi="Arial"/>
                <w:b/>
                <w:color w:val="5064A0"/>
                <w:sz w:val="16"/>
              </w:rPr>
              <w:t>📈 Stage</w:t>
              <w:br/>
            </w:r>
            <w:r>
              <w:rPr>
                <w:rFonts w:ascii="Arial" w:hAnsi="Arial"/>
                <w:color w:val="141E3C"/>
                <w:sz w:val="18"/>
              </w:rPr>
              <w:t>Pre-seed to Seed</w:t>
            </w:r>
          </w:p>
        </w:tc>
        <w:tc>
          <w:tcPr>
            <w:tcW w:type="dxa" w:w="2340"/>
            <w:shd w:val="clear" w:color="auto" w:fill="F0F4FF"/>
            <w:tcW w:w="1800" w:type="dxa"/>
            <w:tcBorders>
              <w:top w:val="single" w:sz="2" w:space="0" w:color="C5D0E8"/>
              <w:left w:val="single" w:sz="2" w:space="0" w:color="C5D0E8"/>
              <w:bottom w:val="single" w:sz="2" w:space="0" w:color="C5D0E8"/>
              <w:right w:val="single" w:sz="2" w:space="0" w:color="C5D0E8"/>
            </w:tcBorders>
            <w:vAlign w:val="center"/>
          </w:tcPr>
          <w:p>
            <w:pPr>
              <w:spacing w:before="80" w:after="80"/>
            </w:pPr>
            <w:r>
              <w:rPr>
                <w:rFonts w:ascii="Arial" w:hAnsi="Arial"/>
                <w:b/>
                <w:color w:val="5064A0"/>
                <w:sz w:val="16"/>
              </w:rPr>
              <w:t>💰 Cheque</w:t>
              <w:br/>
            </w:r>
            <w:r>
              <w:rPr>
                <w:rFonts w:ascii="Arial" w:hAnsi="Arial"/>
                <w:color w:val="141E3C"/>
                <w:sz w:val="18"/>
              </w:rPr>
              <w:t>$200K – $1M</w:t>
            </w:r>
          </w:p>
        </w:tc>
        <w:tc>
          <w:tcPr>
            <w:tcW w:type="dxa" w:w="2340"/>
            <w:shd w:val="clear" w:color="auto" w:fill="F0F4FF"/>
            <w:tcW w:w="3860" w:type="dxa"/>
            <w:tcBorders>
              <w:top w:val="single" w:sz="2" w:space="0" w:color="C5D0E8"/>
              <w:left w:val="single" w:sz="2" w:space="0" w:color="C5D0E8"/>
              <w:bottom w:val="single" w:sz="2" w:space="0" w:color="C5D0E8"/>
              <w:right w:val="single" w:sz="2" w:space="0" w:color="C5D0E8"/>
            </w:tcBorders>
            <w:vAlign w:val="center"/>
          </w:tcPr>
          <w:p>
            <w:pPr>
              <w:spacing w:before="80" w:after="80"/>
            </w:pPr>
            <w:r>
              <w:rPr>
                <w:rFonts w:ascii="Arial" w:hAnsi="Arial"/>
                <w:b/>
                <w:color w:val="5064A0"/>
                <w:sz w:val="16"/>
              </w:rPr>
              <w:t>🏦 Fund size</w:t>
              <w:br/>
            </w:r>
            <w:r>
              <w:rPr>
                <w:rFonts w:ascii="Arial" w:hAnsi="Arial"/>
                <w:color w:val="141E3C"/>
                <w:sz w:val="18"/>
              </w:rPr>
              <w:t>Active Fund I/II</w:t>
            </w:r>
          </w:p>
        </w:tc>
      </w:tr>
    </w:tbl>
    <w:p>
      <w:pPr>
        <w:spacing w:after="80"/>
      </w:pPr>
    </w:p>
    <w:p>
      <w:pPr>
        <w:spacing w:after="80" w:before="0"/>
        <w:jc w:val="left"/>
      </w:pPr>
      <w:r>
        <w:rPr>
          <w:rFonts w:ascii="Arial" w:hAnsi="Arial"/>
          <w:b/>
          <w:i w:val="0"/>
          <w:color w:val="283C78"/>
          <w:sz w:val="20"/>
        </w:rPr>
        <w:t>Sectors: Consumer brands, D2C, new-age FMCG, lifestyle</w:t>
      </w:r>
    </w:p>
    <w:p>
      <w:pPr>
        <w:spacing w:after="120" w:before="0"/>
        <w:jc w:val="left"/>
      </w:pPr>
      <w:r>
        <w:rPr>
          <w:rFonts w:ascii="Arial" w:hAnsi="Arial"/>
          <w:b w:val="0"/>
          <w:i/>
          <w:color w:val="505064"/>
          <w:sz w:val="20"/>
        </w:rPr>
        <w:t>Notable portfolio: Multiple D2C consumer brands across India</w:t>
      </w:r>
    </w:p>
    <w:p>
      <w:pPr>
        <w:spacing w:after="40" w:before="0"/>
        <w:jc w:val="left"/>
      </w:pPr>
      <w:r>
        <w:rPr>
          <w:rFonts w:ascii="Arial" w:hAnsi="Arial"/>
          <w:b/>
          <w:i w:val="0"/>
          <w:color w:val="3C3C50"/>
          <w:sz w:val="20"/>
        </w:rPr>
        <w:t>Investment thesis</w:t>
      </w:r>
    </w:p>
    <w:p>
      <w:pPr>
        <w:spacing w:after="120" w:before="0"/>
        <w:jc w:val="left"/>
      </w:pPr>
      <w:r>
        <w:rPr>
          <w:rFonts w:ascii="Arial" w:hAnsi="Arial"/>
          <w:b w:val="0"/>
          <w:i w:val="0"/>
          <w:sz w:val="22"/>
        </w:rPr>
        <w:t>Multiply Ventures backs founders who understand that building a great consumer brand in India requires a fundamentally different playbook than building one in the US or Europe. India's consumers are value-conscious, aspirational, and increasingly discovering brands on platforms that did not exist five years ago. Multiply backs founders who have internalised this and are building accordingly.</w:t>
      </w:r>
    </w:p>
    <w:p>
      <w:pPr>
        <w:spacing w:after="40" w:before="0"/>
        <w:jc w:val="left"/>
      </w:pPr>
      <w:r>
        <w:rPr>
          <w:rFonts w:ascii="Arial" w:hAnsi="Arial"/>
          <w:b/>
          <w:i w:val="0"/>
          <w:color w:val="3C3C50"/>
          <w:sz w:val="20"/>
        </w:rPr>
        <w:t>How to approach</w:t>
      </w:r>
    </w:p>
    <w:p>
      <w:pPr>
        <w:spacing w:after="120" w:before="0"/>
        <w:jc w:val="left"/>
      </w:pPr>
      <w:r>
        <w:rPr>
          <w:rFonts w:ascii="Arial" w:hAnsi="Arial"/>
          <w:b w:val="0"/>
          <w:i w:val="0"/>
          <w:sz w:val="22"/>
        </w:rPr>
        <w:t>A strong brand narrative and a clear channel strategy are more important than revenue at the stage Multiply typically invests. Show them you understand who your customer is, where they discover you, and why they will come back.</w:t>
      </w:r>
    </w:p>
    <w:tbl>
      <w:tblPr>
        <w:tblW w:type="auto" w:w="0"/>
        <w:jc w:val="center"/>
        <w:tblLook w:firstColumn="1" w:firstRow="1" w:lastColumn="0" w:lastRow="0" w:noHBand="0" w:noVBand="1" w:val="04A0"/>
      </w:tblPr>
      <w:tblGrid>
        <w:gridCol w:w="9360"/>
      </w:tblGrid>
      <w:tr>
        <w:tc>
          <w:tcPr>
            <w:tcW w:type="dxa" w:w="9360"/>
            <w:shd w:val="clear" w:color="auto" w:fill="E8F5E9"/>
            <w:tcBorders>
              <w:top w:val="single" w:sz="6" w:space="0" w:color="4CAF50"/>
              <w:left w:val="single" w:sz="6" w:space="0" w:color="4CAF50"/>
              <w:bottom w:val="single" w:sz="6" w:space="0" w:color="4CAF50"/>
              <w:right w:val="single" w:sz="6" w:space="0" w:color="4CAF50"/>
            </w:tcBorders>
          </w:tcPr>
          <w:p>
            <w:pPr>
              <w:spacing w:before="120" w:after="120"/>
            </w:pPr>
            <w:r>
              <w:rPr>
                <w:rFonts w:ascii="Arial" w:hAnsi="Arial"/>
                <w:b/>
                <w:color w:val="14501E"/>
                <w:sz w:val="20"/>
              </w:rPr>
              <w:t xml:space="preserve">✅  Best for: </w:t>
            </w:r>
            <w:r>
              <w:rPr>
                <w:rFonts w:ascii="Arial" w:hAnsi="Arial"/>
                <w:color w:val="14501E"/>
                <w:sz w:val="22"/>
              </w:rPr>
              <w:t>Consumer brand founders in Mumbai or building for pan-India markets who understand the economics of D2C at small scale and have early customer validation.</w:t>
            </w:r>
          </w:p>
        </w:tc>
      </w:tr>
    </w:tbl>
    <w:p>
      <w:pPr>
        <w:spacing w:after="120"/>
      </w:pPr>
    </w:p>
    <w:p>
      <w:pPr>
        <w:pStyle w:val="Heading3"/>
        <w:spacing w:before="200" w:after="120"/>
      </w:pPr>
      <w:r>
        <w:rPr>
          <w:rFonts w:ascii="Arial" w:hAnsi="Arial"/>
          <w:b/>
          <w:color w:val="142864"/>
          <w:sz w:val="26"/>
        </w:rPr>
        <w:t>12. GradCapital</w:t>
      </w: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F0F4FF"/>
            <w:tcW w:w="1600" w:type="dxa"/>
            <w:tcBorders>
              <w:top w:val="single" w:sz="2" w:space="0" w:color="C5D0E8"/>
              <w:left w:val="single" w:sz="2" w:space="0" w:color="C5D0E8"/>
              <w:bottom w:val="single" w:sz="2" w:space="0" w:color="C5D0E8"/>
              <w:right w:val="single" w:sz="2" w:space="0" w:color="C5D0E8"/>
            </w:tcBorders>
            <w:vAlign w:val="center"/>
          </w:tcPr>
          <w:p>
            <w:pPr>
              <w:spacing w:before="80" w:after="80"/>
            </w:pPr>
            <w:r>
              <w:rPr>
                <w:rFonts w:ascii="Arial" w:hAnsi="Arial"/>
                <w:b/>
                <w:color w:val="5064A0"/>
                <w:sz w:val="16"/>
              </w:rPr>
              <w:t>🏢 HQ</w:t>
              <w:br/>
            </w:r>
            <w:r>
              <w:rPr>
                <w:rFonts w:ascii="Arial" w:hAnsi="Arial"/>
                <w:color w:val="141E3C"/>
                <w:sz w:val="18"/>
              </w:rPr>
              <w:t>Pan-India (remote-first)</w:t>
            </w:r>
          </w:p>
        </w:tc>
        <w:tc>
          <w:tcPr>
            <w:tcW w:type="dxa" w:w="2340"/>
            <w:shd w:val="clear" w:color="auto" w:fill="F0F4FF"/>
            <w:tcW w:w="1700" w:type="dxa"/>
            <w:tcBorders>
              <w:top w:val="single" w:sz="2" w:space="0" w:color="C5D0E8"/>
              <w:left w:val="single" w:sz="2" w:space="0" w:color="C5D0E8"/>
              <w:bottom w:val="single" w:sz="2" w:space="0" w:color="C5D0E8"/>
              <w:right w:val="single" w:sz="2" w:space="0" w:color="C5D0E8"/>
            </w:tcBorders>
            <w:vAlign w:val="center"/>
          </w:tcPr>
          <w:p>
            <w:pPr>
              <w:spacing w:before="80" w:after="80"/>
            </w:pPr>
            <w:r>
              <w:rPr>
                <w:rFonts w:ascii="Arial" w:hAnsi="Arial"/>
                <w:b/>
                <w:color w:val="5064A0"/>
                <w:sz w:val="16"/>
              </w:rPr>
              <w:t>📈 Stage</w:t>
              <w:br/>
            </w:r>
            <w:r>
              <w:rPr>
                <w:rFonts w:ascii="Arial" w:hAnsi="Arial"/>
                <w:color w:val="141E3C"/>
                <w:sz w:val="18"/>
              </w:rPr>
              <w:t>Pre-seed (campus founders)</w:t>
            </w:r>
          </w:p>
        </w:tc>
        <w:tc>
          <w:tcPr>
            <w:tcW w:type="dxa" w:w="2340"/>
            <w:shd w:val="clear" w:color="auto" w:fill="F0F4FF"/>
            <w:tcW w:w="1800" w:type="dxa"/>
            <w:tcBorders>
              <w:top w:val="single" w:sz="2" w:space="0" w:color="C5D0E8"/>
              <w:left w:val="single" w:sz="2" w:space="0" w:color="C5D0E8"/>
              <w:bottom w:val="single" w:sz="2" w:space="0" w:color="C5D0E8"/>
              <w:right w:val="single" w:sz="2" w:space="0" w:color="C5D0E8"/>
            </w:tcBorders>
            <w:vAlign w:val="center"/>
          </w:tcPr>
          <w:p>
            <w:pPr>
              <w:spacing w:before="80" w:after="80"/>
            </w:pPr>
            <w:r>
              <w:rPr>
                <w:rFonts w:ascii="Arial" w:hAnsi="Arial"/>
                <w:b/>
                <w:color w:val="5064A0"/>
                <w:sz w:val="16"/>
              </w:rPr>
              <w:t>💰 Cheque</w:t>
              <w:br/>
            </w:r>
            <w:r>
              <w:rPr>
                <w:rFonts w:ascii="Arial" w:hAnsi="Arial"/>
                <w:color w:val="141E3C"/>
                <w:sz w:val="18"/>
              </w:rPr>
              <w:t>₹25L – ₹1Cr</w:t>
            </w:r>
          </w:p>
        </w:tc>
        <w:tc>
          <w:tcPr>
            <w:tcW w:type="dxa" w:w="2340"/>
            <w:shd w:val="clear" w:color="auto" w:fill="F0F4FF"/>
            <w:tcW w:w="3860" w:type="dxa"/>
            <w:tcBorders>
              <w:top w:val="single" w:sz="2" w:space="0" w:color="C5D0E8"/>
              <w:left w:val="single" w:sz="2" w:space="0" w:color="C5D0E8"/>
              <w:bottom w:val="single" w:sz="2" w:space="0" w:color="C5D0E8"/>
              <w:right w:val="single" w:sz="2" w:space="0" w:color="C5D0E8"/>
            </w:tcBorders>
            <w:vAlign w:val="center"/>
          </w:tcPr>
          <w:p>
            <w:pPr>
              <w:spacing w:before="80" w:after="80"/>
            </w:pPr>
            <w:r>
              <w:rPr>
                <w:rFonts w:ascii="Arial" w:hAnsi="Arial"/>
                <w:b/>
                <w:color w:val="5064A0"/>
                <w:sz w:val="16"/>
              </w:rPr>
              <w:t>🏦 Fund size</w:t>
              <w:br/>
            </w:r>
            <w:r>
              <w:rPr>
                <w:rFonts w:ascii="Arial" w:hAnsi="Arial"/>
                <w:color w:val="141E3C"/>
                <w:sz w:val="18"/>
              </w:rPr>
              <w:t>Fund II active — India's leading campus-founder fund</w:t>
            </w:r>
          </w:p>
        </w:tc>
      </w:tr>
    </w:tbl>
    <w:p>
      <w:pPr>
        <w:spacing w:after="80"/>
      </w:pPr>
    </w:p>
    <w:p>
      <w:pPr>
        <w:spacing w:after="80" w:before="0"/>
        <w:jc w:val="left"/>
      </w:pPr>
      <w:r>
        <w:rPr>
          <w:rFonts w:ascii="Arial" w:hAnsi="Arial"/>
          <w:b/>
          <w:i w:val="0"/>
          <w:color w:val="283C78"/>
          <w:sz w:val="20"/>
        </w:rPr>
        <w:t>Sectors: Sector agnostic — backs students and recent graduates specifically</w:t>
      </w:r>
    </w:p>
    <w:p>
      <w:pPr>
        <w:spacing w:after="120" w:before="0"/>
        <w:jc w:val="left"/>
      </w:pPr>
      <w:r>
        <w:rPr>
          <w:rFonts w:ascii="Arial" w:hAnsi="Arial"/>
          <w:b w:val="0"/>
          <w:i/>
          <w:color w:val="505064"/>
          <w:sz w:val="20"/>
        </w:rPr>
        <w:t>Notable portfolio: Multiple campus-born startups from IITs, IIMs, and top engineering colleges</w:t>
      </w:r>
    </w:p>
    <w:p>
      <w:pPr>
        <w:spacing w:after="40" w:before="0"/>
        <w:jc w:val="left"/>
      </w:pPr>
      <w:r>
        <w:rPr>
          <w:rFonts w:ascii="Arial" w:hAnsi="Arial"/>
          <w:b/>
          <w:i w:val="0"/>
          <w:color w:val="3C3C50"/>
          <w:sz w:val="20"/>
        </w:rPr>
        <w:t>Investment thesis</w:t>
      </w:r>
    </w:p>
    <w:p>
      <w:pPr>
        <w:spacing w:after="120" w:before="0"/>
        <w:jc w:val="left"/>
      </w:pPr>
      <w:r>
        <w:rPr>
          <w:rFonts w:ascii="Arial" w:hAnsi="Arial"/>
          <w:b w:val="0"/>
          <w:i w:val="0"/>
          <w:sz w:val="22"/>
        </w:rPr>
        <w:t>GradCapital backs a founder profile that most VCs overlook: students and recent graduates who are building from campus before they have 'credentials'. Their thesis — validated increasingly by outcomes — is that world-class innovation often emerges from colleges before institutional experience accumulates. They have backed founders at IITs, IIMs, and top engineering colleges across India. This is a category that barely existed as a distinct VC strategy three years ago.</w:t>
      </w:r>
    </w:p>
    <w:p>
      <w:pPr>
        <w:spacing w:after="40" w:before="0"/>
        <w:jc w:val="left"/>
      </w:pPr>
      <w:r>
        <w:rPr>
          <w:rFonts w:ascii="Arial" w:hAnsi="Arial"/>
          <w:b/>
          <w:i w:val="0"/>
          <w:color w:val="3C3C50"/>
          <w:sz w:val="20"/>
        </w:rPr>
        <w:t>How to approach</w:t>
      </w:r>
    </w:p>
    <w:p>
      <w:pPr>
        <w:spacing w:after="120" w:before="0"/>
        <w:jc w:val="left"/>
      </w:pPr>
      <w:r>
        <w:rPr>
          <w:rFonts w:ascii="Arial" w:hAnsi="Arial"/>
          <w:b w:val="0"/>
          <w:i w:val="0"/>
          <w:sz w:val="22"/>
        </w:rPr>
        <w:t>GradCapital's application process is designed specifically for campus founders. You do not need a company registered or a product built — they back at the idea stage. What matters is your clarity on the problem, your unfair access to the customer, and the intellectual conviction behind your thesis.</w:t>
      </w:r>
    </w:p>
    <w:tbl>
      <w:tblPr>
        <w:tblW w:type="auto" w:w="0"/>
        <w:jc w:val="center"/>
        <w:tblLook w:firstColumn="1" w:firstRow="1" w:lastColumn="0" w:lastRow="0" w:noHBand="0" w:noVBand="1" w:val="04A0"/>
      </w:tblPr>
      <w:tblGrid>
        <w:gridCol w:w="9360"/>
      </w:tblGrid>
      <w:tr>
        <w:tc>
          <w:tcPr>
            <w:tcW w:type="dxa" w:w="9360"/>
            <w:shd w:val="clear" w:color="auto" w:fill="E8F5E9"/>
            <w:tcBorders>
              <w:top w:val="single" w:sz="6" w:space="0" w:color="4CAF50"/>
              <w:left w:val="single" w:sz="6" w:space="0" w:color="4CAF50"/>
              <w:bottom w:val="single" w:sz="6" w:space="0" w:color="4CAF50"/>
              <w:right w:val="single" w:sz="6" w:space="0" w:color="4CAF50"/>
            </w:tcBorders>
          </w:tcPr>
          <w:p>
            <w:pPr>
              <w:spacing w:before="120" w:after="120"/>
            </w:pPr>
            <w:r>
              <w:rPr>
                <w:rFonts w:ascii="Arial" w:hAnsi="Arial"/>
                <w:b/>
                <w:color w:val="14501E"/>
                <w:sz w:val="20"/>
              </w:rPr>
              <w:t xml:space="preserve">✅  Best for: </w:t>
            </w:r>
            <w:r>
              <w:rPr>
                <w:rFonts w:ascii="Arial" w:hAnsi="Arial"/>
                <w:color w:val="14501E"/>
                <w:sz w:val="22"/>
              </w:rPr>
              <w:t>Students or recent graduates (within 2 years of college) building their first startup, who want an investor who specifically understands and backs this profile.</w:t>
            </w:r>
          </w:p>
        </w:tc>
      </w:tr>
    </w:tbl>
    <w:p>
      <w:pPr>
        <w:spacing w:after="120"/>
      </w:pPr>
    </w:p>
    <w:p>
      <w:pPr>
        <w:pStyle w:val="Heading2"/>
        <w:spacing w:before="360" w:after="160"/>
      </w:pPr>
      <w:r>
        <w:rPr>
          <w:rFonts w:ascii="Arial" w:hAnsi="Arial"/>
          <w:b/>
          <w:color w:val="501EA0"/>
          <w:sz w:val="34"/>
        </w:rPr>
        <w:t>Category D — DeepTech, Defence and Science funds</w:t>
      </w:r>
    </w:p>
    <w:p>
      <w:pPr>
        <w:pStyle w:val="Heading3"/>
        <w:spacing w:before="200" w:after="120"/>
      </w:pPr>
      <w:r>
        <w:rPr>
          <w:rFonts w:ascii="Arial" w:hAnsi="Arial"/>
          <w:b/>
          <w:color w:val="142864"/>
          <w:sz w:val="26"/>
        </w:rPr>
        <w:t>13. Java Capital</w:t>
      </w: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F0F4FF"/>
            <w:tcW w:w="1600" w:type="dxa"/>
            <w:tcBorders>
              <w:top w:val="single" w:sz="2" w:space="0" w:color="C5D0E8"/>
              <w:left w:val="single" w:sz="2" w:space="0" w:color="C5D0E8"/>
              <w:bottom w:val="single" w:sz="2" w:space="0" w:color="C5D0E8"/>
              <w:right w:val="single" w:sz="2" w:space="0" w:color="C5D0E8"/>
            </w:tcBorders>
            <w:vAlign w:val="center"/>
          </w:tcPr>
          <w:p>
            <w:pPr>
              <w:spacing w:before="80" w:after="80"/>
            </w:pPr>
            <w:r>
              <w:rPr>
                <w:rFonts w:ascii="Arial" w:hAnsi="Arial"/>
                <w:b/>
                <w:color w:val="5064A0"/>
                <w:sz w:val="16"/>
              </w:rPr>
              <w:t>🏢 HQ</w:t>
              <w:br/>
            </w:r>
            <w:r>
              <w:rPr>
                <w:rFonts w:ascii="Arial" w:hAnsi="Arial"/>
                <w:color w:val="141E3C"/>
                <w:sz w:val="18"/>
              </w:rPr>
              <w:t>Bengaluru</w:t>
            </w:r>
          </w:p>
        </w:tc>
        <w:tc>
          <w:tcPr>
            <w:tcW w:type="dxa" w:w="2340"/>
            <w:shd w:val="clear" w:color="auto" w:fill="F0F4FF"/>
            <w:tcW w:w="1700" w:type="dxa"/>
            <w:tcBorders>
              <w:top w:val="single" w:sz="2" w:space="0" w:color="C5D0E8"/>
              <w:left w:val="single" w:sz="2" w:space="0" w:color="C5D0E8"/>
              <w:bottom w:val="single" w:sz="2" w:space="0" w:color="C5D0E8"/>
              <w:right w:val="single" w:sz="2" w:space="0" w:color="C5D0E8"/>
            </w:tcBorders>
            <w:vAlign w:val="center"/>
          </w:tcPr>
          <w:p>
            <w:pPr>
              <w:spacing w:before="80" w:after="80"/>
            </w:pPr>
            <w:r>
              <w:rPr>
                <w:rFonts w:ascii="Arial" w:hAnsi="Arial"/>
                <w:b/>
                <w:color w:val="5064A0"/>
                <w:sz w:val="16"/>
              </w:rPr>
              <w:t>📈 Stage</w:t>
              <w:br/>
            </w:r>
            <w:r>
              <w:rPr>
                <w:rFonts w:ascii="Arial" w:hAnsi="Arial"/>
                <w:color w:val="141E3C"/>
                <w:sz w:val="18"/>
              </w:rPr>
              <w:t>Pre-seed to Seed</w:t>
            </w:r>
          </w:p>
        </w:tc>
        <w:tc>
          <w:tcPr>
            <w:tcW w:type="dxa" w:w="2340"/>
            <w:shd w:val="clear" w:color="auto" w:fill="F0F4FF"/>
            <w:tcW w:w="1800" w:type="dxa"/>
            <w:tcBorders>
              <w:top w:val="single" w:sz="2" w:space="0" w:color="C5D0E8"/>
              <w:left w:val="single" w:sz="2" w:space="0" w:color="C5D0E8"/>
              <w:bottom w:val="single" w:sz="2" w:space="0" w:color="C5D0E8"/>
              <w:right w:val="single" w:sz="2" w:space="0" w:color="C5D0E8"/>
            </w:tcBorders>
            <w:vAlign w:val="center"/>
          </w:tcPr>
          <w:p>
            <w:pPr>
              <w:spacing w:before="80" w:after="80"/>
            </w:pPr>
            <w:r>
              <w:rPr>
                <w:rFonts w:ascii="Arial" w:hAnsi="Arial"/>
                <w:b/>
                <w:color w:val="5064A0"/>
                <w:sz w:val="16"/>
              </w:rPr>
              <w:t>💰 Cheque</w:t>
              <w:br/>
            </w:r>
            <w:r>
              <w:rPr>
                <w:rFonts w:ascii="Arial" w:hAnsi="Arial"/>
                <w:color w:val="141E3C"/>
                <w:sz w:val="18"/>
              </w:rPr>
              <w:t>$200K – $1.5M</w:t>
            </w:r>
          </w:p>
        </w:tc>
        <w:tc>
          <w:tcPr>
            <w:tcW w:type="dxa" w:w="2340"/>
            <w:shd w:val="clear" w:color="auto" w:fill="F0F4FF"/>
            <w:tcW w:w="3860" w:type="dxa"/>
            <w:tcBorders>
              <w:top w:val="single" w:sz="2" w:space="0" w:color="C5D0E8"/>
              <w:left w:val="single" w:sz="2" w:space="0" w:color="C5D0E8"/>
              <w:bottom w:val="single" w:sz="2" w:space="0" w:color="C5D0E8"/>
              <w:right w:val="single" w:sz="2" w:space="0" w:color="C5D0E8"/>
            </w:tcBorders>
            <w:vAlign w:val="center"/>
          </w:tcPr>
          <w:p>
            <w:pPr>
              <w:spacing w:before="80" w:after="80"/>
            </w:pPr>
            <w:r>
              <w:rPr>
                <w:rFonts w:ascii="Arial" w:hAnsi="Arial"/>
                <w:b/>
                <w:color w:val="5064A0"/>
                <w:sz w:val="16"/>
              </w:rPr>
              <w:t>🏦 Fund size</w:t>
              <w:br/>
            </w:r>
            <w:r>
              <w:rPr>
                <w:rFonts w:ascii="Arial" w:hAnsi="Arial"/>
                <w:color w:val="141E3C"/>
                <w:sz w:val="18"/>
              </w:rPr>
              <w:t>Active — defence and deeptech focus</w:t>
            </w:r>
          </w:p>
        </w:tc>
      </w:tr>
    </w:tbl>
    <w:p>
      <w:pPr>
        <w:spacing w:after="80"/>
      </w:pPr>
    </w:p>
    <w:p>
      <w:pPr>
        <w:spacing w:after="80" w:before="0"/>
        <w:jc w:val="left"/>
      </w:pPr>
      <w:r>
        <w:rPr>
          <w:rFonts w:ascii="Arial" w:hAnsi="Arial"/>
          <w:b/>
          <w:i w:val="0"/>
          <w:color w:val="283C78"/>
          <w:sz w:val="20"/>
        </w:rPr>
        <w:t>Sectors: Defence technology, dual-use tech, aerospace, national security startups</w:t>
      </w:r>
    </w:p>
    <w:p>
      <w:pPr>
        <w:spacing w:after="120" w:before="0"/>
        <w:jc w:val="left"/>
      </w:pPr>
      <w:r>
        <w:rPr>
          <w:rFonts w:ascii="Arial" w:hAnsi="Arial"/>
          <w:b w:val="0"/>
          <w:i/>
          <w:color w:val="505064"/>
          <w:sz w:val="20"/>
        </w:rPr>
        <w:t>Notable portfolio: Multiple early-stage defence and aerospace startups</w:t>
      </w:r>
    </w:p>
    <w:p>
      <w:pPr>
        <w:spacing w:after="40" w:before="0"/>
        <w:jc w:val="left"/>
      </w:pPr>
      <w:r>
        <w:rPr>
          <w:rFonts w:ascii="Arial" w:hAnsi="Arial"/>
          <w:b/>
          <w:i w:val="0"/>
          <w:color w:val="3C3C50"/>
          <w:sz w:val="20"/>
        </w:rPr>
        <w:t>Investment thesis</w:t>
      </w:r>
    </w:p>
    <w:p>
      <w:pPr>
        <w:spacing w:after="120" w:before="0"/>
        <w:jc w:val="left"/>
      </w:pPr>
      <w:r>
        <w:rPr>
          <w:rFonts w:ascii="Arial" w:hAnsi="Arial"/>
          <w:b w:val="0"/>
          <w:i w:val="0"/>
          <w:sz w:val="22"/>
        </w:rPr>
        <w:t>Java Capital is one of a small number of Indian micro VCs building a genuine thesis around India's emerging defence technology ecosystem. With government defence procurement shifting toward private players and the import substitution push gaining momentum, Java backs founders who are building hardware, software, and system solutions for India's defence and national security needs.</w:t>
      </w:r>
    </w:p>
    <w:p>
      <w:pPr>
        <w:spacing w:after="40" w:before="0"/>
        <w:jc w:val="left"/>
      </w:pPr>
      <w:r>
        <w:rPr>
          <w:rFonts w:ascii="Arial" w:hAnsi="Arial"/>
          <w:b/>
          <w:i w:val="0"/>
          <w:color w:val="3C3C50"/>
          <w:sz w:val="20"/>
        </w:rPr>
        <w:t>How to approach</w:t>
      </w:r>
    </w:p>
    <w:p>
      <w:pPr>
        <w:spacing w:after="120" w:before="0"/>
        <w:jc w:val="left"/>
      </w:pPr>
      <w:r>
        <w:rPr>
          <w:rFonts w:ascii="Arial" w:hAnsi="Arial"/>
          <w:b w:val="0"/>
          <w:i w:val="0"/>
          <w:sz w:val="22"/>
        </w:rPr>
        <w:t>Java Capital expects founders to understand the procurement landscape — DRDO relationships, DPP processes, and the specific customer segments (Army, Navy, Air Force, paramilitary) they are targeting. Technical defensibility and regulatory navigation are the first two things they probe.</w:t>
      </w:r>
    </w:p>
    <w:tbl>
      <w:tblPr>
        <w:tblW w:type="auto" w:w="0"/>
        <w:jc w:val="center"/>
        <w:tblLook w:firstColumn="1" w:firstRow="1" w:lastColumn="0" w:lastRow="0" w:noHBand="0" w:noVBand="1" w:val="04A0"/>
      </w:tblPr>
      <w:tblGrid>
        <w:gridCol w:w="9360"/>
      </w:tblGrid>
      <w:tr>
        <w:tc>
          <w:tcPr>
            <w:tcW w:type="dxa" w:w="9360"/>
            <w:shd w:val="clear" w:color="auto" w:fill="E8F5E9"/>
            <w:tcBorders>
              <w:top w:val="single" w:sz="6" w:space="0" w:color="4CAF50"/>
              <w:left w:val="single" w:sz="6" w:space="0" w:color="4CAF50"/>
              <w:bottom w:val="single" w:sz="6" w:space="0" w:color="4CAF50"/>
              <w:right w:val="single" w:sz="6" w:space="0" w:color="4CAF50"/>
            </w:tcBorders>
          </w:tcPr>
          <w:p>
            <w:pPr>
              <w:spacing w:before="120" w:after="120"/>
            </w:pPr>
            <w:r>
              <w:rPr>
                <w:rFonts w:ascii="Arial" w:hAnsi="Arial"/>
                <w:b/>
                <w:color w:val="14501E"/>
                <w:sz w:val="20"/>
              </w:rPr>
              <w:t xml:space="preserve">✅  Best for: </w:t>
            </w:r>
            <w:r>
              <w:rPr>
                <w:rFonts w:ascii="Arial" w:hAnsi="Arial"/>
                <w:color w:val="14501E"/>
                <w:sz w:val="22"/>
              </w:rPr>
              <w:t>Technical founders with engineering or defence domain backgrounds building products for India's defence and national security ecosystem.</w:t>
            </w:r>
          </w:p>
        </w:tc>
      </w:tr>
    </w:tbl>
    <w:p>
      <w:pPr>
        <w:spacing w:after="120"/>
      </w:pPr>
    </w:p>
    <w:p>
      <w:pPr>
        <w:pStyle w:val="Heading3"/>
        <w:spacing w:before="200" w:after="120"/>
      </w:pPr>
      <w:r>
        <w:rPr>
          <w:rFonts w:ascii="Arial" w:hAnsi="Arial"/>
          <w:b/>
          <w:color w:val="142864"/>
          <w:sz w:val="26"/>
        </w:rPr>
        <w:t>14. SEAFund</w:t>
      </w: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F0F4FF"/>
            <w:tcW w:w="1600" w:type="dxa"/>
            <w:tcBorders>
              <w:top w:val="single" w:sz="2" w:space="0" w:color="C5D0E8"/>
              <w:left w:val="single" w:sz="2" w:space="0" w:color="C5D0E8"/>
              <w:bottom w:val="single" w:sz="2" w:space="0" w:color="C5D0E8"/>
              <w:right w:val="single" w:sz="2" w:space="0" w:color="C5D0E8"/>
            </w:tcBorders>
            <w:vAlign w:val="center"/>
          </w:tcPr>
          <w:p>
            <w:pPr>
              <w:spacing w:before="80" w:after="80"/>
            </w:pPr>
            <w:r>
              <w:rPr>
                <w:rFonts w:ascii="Arial" w:hAnsi="Arial"/>
                <w:b/>
                <w:color w:val="5064A0"/>
                <w:sz w:val="16"/>
              </w:rPr>
              <w:t>🏢 HQ</w:t>
              <w:br/>
            </w:r>
            <w:r>
              <w:rPr>
                <w:rFonts w:ascii="Arial" w:hAnsi="Arial"/>
                <w:color w:val="141E3C"/>
                <w:sz w:val="18"/>
              </w:rPr>
              <w:t>Bengaluru</w:t>
            </w:r>
          </w:p>
        </w:tc>
        <w:tc>
          <w:tcPr>
            <w:tcW w:type="dxa" w:w="2340"/>
            <w:shd w:val="clear" w:color="auto" w:fill="F0F4FF"/>
            <w:tcW w:w="1700" w:type="dxa"/>
            <w:tcBorders>
              <w:top w:val="single" w:sz="2" w:space="0" w:color="C5D0E8"/>
              <w:left w:val="single" w:sz="2" w:space="0" w:color="C5D0E8"/>
              <w:bottom w:val="single" w:sz="2" w:space="0" w:color="C5D0E8"/>
              <w:right w:val="single" w:sz="2" w:space="0" w:color="C5D0E8"/>
            </w:tcBorders>
            <w:vAlign w:val="center"/>
          </w:tcPr>
          <w:p>
            <w:pPr>
              <w:spacing w:before="80" w:after="80"/>
            </w:pPr>
            <w:r>
              <w:rPr>
                <w:rFonts w:ascii="Arial" w:hAnsi="Arial"/>
                <w:b/>
                <w:color w:val="5064A0"/>
                <w:sz w:val="16"/>
              </w:rPr>
              <w:t>📈 Stage</w:t>
              <w:br/>
            </w:r>
            <w:r>
              <w:rPr>
                <w:rFonts w:ascii="Arial" w:hAnsi="Arial"/>
                <w:color w:val="141E3C"/>
                <w:sz w:val="18"/>
              </w:rPr>
              <w:t>Pre-seed to Seed</w:t>
            </w:r>
          </w:p>
        </w:tc>
        <w:tc>
          <w:tcPr>
            <w:tcW w:type="dxa" w:w="2340"/>
            <w:shd w:val="clear" w:color="auto" w:fill="F0F4FF"/>
            <w:tcW w:w="1800" w:type="dxa"/>
            <w:tcBorders>
              <w:top w:val="single" w:sz="2" w:space="0" w:color="C5D0E8"/>
              <w:left w:val="single" w:sz="2" w:space="0" w:color="C5D0E8"/>
              <w:bottom w:val="single" w:sz="2" w:space="0" w:color="C5D0E8"/>
              <w:right w:val="single" w:sz="2" w:space="0" w:color="C5D0E8"/>
            </w:tcBorders>
            <w:vAlign w:val="center"/>
          </w:tcPr>
          <w:p>
            <w:pPr>
              <w:spacing w:before="80" w:after="80"/>
            </w:pPr>
            <w:r>
              <w:rPr>
                <w:rFonts w:ascii="Arial" w:hAnsi="Arial"/>
                <w:b/>
                <w:color w:val="5064A0"/>
                <w:sz w:val="16"/>
              </w:rPr>
              <w:t>💰 Cheque</w:t>
              <w:br/>
            </w:r>
            <w:r>
              <w:rPr>
                <w:rFonts w:ascii="Arial" w:hAnsi="Arial"/>
                <w:color w:val="141E3C"/>
                <w:sz w:val="18"/>
              </w:rPr>
              <w:t>$200K – $1.2M</w:t>
            </w:r>
          </w:p>
        </w:tc>
        <w:tc>
          <w:tcPr>
            <w:tcW w:type="dxa" w:w="2340"/>
            <w:shd w:val="clear" w:color="auto" w:fill="F0F4FF"/>
            <w:tcW w:w="3860" w:type="dxa"/>
            <w:tcBorders>
              <w:top w:val="single" w:sz="2" w:space="0" w:color="C5D0E8"/>
              <w:left w:val="single" w:sz="2" w:space="0" w:color="C5D0E8"/>
              <w:bottom w:val="single" w:sz="2" w:space="0" w:color="C5D0E8"/>
              <w:right w:val="single" w:sz="2" w:space="0" w:color="C5D0E8"/>
            </w:tcBorders>
            <w:vAlign w:val="center"/>
          </w:tcPr>
          <w:p>
            <w:pPr>
              <w:spacing w:before="80" w:after="80"/>
            </w:pPr>
            <w:r>
              <w:rPr>
                <w:rFonts w:ascii="Arial" w:hAnsi="Arial"/>
                <w:b/>
                <w:color w:val="5064A0"/>
                <w:sz w:val="16"/>
              </w:rPr>
              <w:t>🏦 Fund size</w:t>
              <w:br/>
            </w:r>
            <w:r>
              <w:rPr>
                <w:rFonts w:ascii="Arial" w:hAnsi="Arial"/>
                <w:color w:val="141E3C"/>
                <w:sz w:val="18"/>
              </w:rPr>
              <w:t>Active — science and engineering focus</w:t>
            </w:r>
          </w:p>
        </w:tc>
      </w:tr>
    </w:tbl>
    <w:p>
      <w:pPr>
        <w:spacing w:after="80"/>
      </w:pPr>
    </w:p>
    <w:p>
      <w:pPr>
        <w:spacing w:after="80" w:before="0"/>
        <w:jc w:val="left"/>
      </w:pPr>
      <w:r>
        <w:rPr>
          <w:rFonts w:ascii="Arial" w:hAnsi="Arial"/>
          <w:b/>
          <w:i w:val="0"/>
          <w:color w:val="283C78"/>
          <w:sz w:val="20"/>
        </w:rPr>
        <w:t>Sectors: DeepTech, climate tech, energy, materials science, hard science</w:t>
      </w:r>
    </w:p>
    <w:p>
      <w:pPr>
        <w:spacing w:after="120" w:before="0"/>
        <w:jc w:val="left"/>
      </w:pPr>
      <w:r>
        <w:rPr>
          <w:rFonts w:ascii="Arial" w:hAnsi="Arial"/>
          <w:b w:val="0"/>
          <w:i/>
          <w:color w:val="505064"/>
          <w:sz w:val="20"/>
        </w:rPr>
        <w:t>Notable portfolio: Multiple deeptech and climate-tech early-stage companies</w:t>
      </w:r>
    </w:p>
    <w:p>
      <w:pPr>
        <w:spacing w:after="40" w:before="0"/>
        <w:jc w:val="left"/>
      </w:pPr>
      <w:r>
        <w:rPr>
          <w:rFonts w:ascii="Arial" w:hAnsi="Arial"/>
          <w:b/>
          <w:i w:val="0"/>
          <w:color w:val="3C3C50"/>
          <w:sz w:val="20"/>
        </w:rPr>
        <w:t>Investment thesis</w:t>
      </w:r>
    </w:p>
    <w:p>
      <w:pPr>
        <w:spacing w:after="120" w:before="0"/>
        <w:jc w:val="left"/>
      </w:pPr>
      <w:r>
        <w:rPr>
          <w:rFonts w:ascii="Arial" w:hAnsi="Arial"/>
          <w:b w:val="0"/>
          <w:i w:val="0"/>
          <w:sz w:val="22"/>
        </w:rPr>
        <w:t>SEAFund — Science and Engineering Applications Fund — backs founders working at the intersection of fundamental science and large market problems. They are patient capital: they understand that hardware and deep science startups take longer to reach commercial milestones, and they structure their engagement accordingly. They are one of the few micro VCs in India with genuine technical evaluation capability for non-software startups.</w:t>
      </w:r>
    </w:p>
    <w:p>
      <w:pPr>
        <w:spacing w:after="40" w:before="0"/>
        <w:jc w:val="left"/>
      </w:pPr>
      <w:r>
        <w:rPr>
          <w:rFonts w:ascii="Arial" w:hAnsi="Arial"/>
          <w:b/>
          <w:i w:val="0"/>
          <w:color w:val="3C3C50"/>
          <w:sz w:val="20"/>
        </w:rPr>
        <w:t>How to approach</w:t>
      </w:r>
    </w:p>
    <w:p>
      <w:pPr>
        <w:spacing w:after="120" w:before="0"/>
        <w:jc w:val="left"/>
      </w:pPr>
      <w:r>
        <w:rPr>
          <w:rFonts w:ascii="Arial" w:hAnsi="Arial"/>
          <w:b w:val="0"/>
          <w:i w:val="0"/>
          <w:sz w:val="22"/>
        </w:rPr>
        <w:t>SEAFund evaluates the science first. Come with your technical architecture, your IP position or moat hypothesis, and a realistic commercialisation timeline. They are forgiving of early-stage commercial uncertainty if the science is strong and the founder is credible.</w:t>
      </w:r>
    </w:p>
    <w:tbl>
      <w:tblPr>
        <w:tblW w:type="auto" w:w="0"/>
        <w:jc w:val="center"/>
        <w:tblLook w:firstColumn="1" w:firstRow="1" w:lastColumn="0" w:lastRow="0" w:noHBand="0" w:noVBand="1" w:val="04A0"/>
      </w:tblPr>
      <w:tblGrid>
        <w:gridCol w:w="9360"/>
      </w:tblGrid>
      <w:tr>
        <w:tc>
          <w:tcPr>
            <w:tcW w:type="dxa" w:w="9360"/>
            <w:shd w:val="clear" w:color="auto" w:fill="E8F5E9"/>
            <w:tcBorders>
              <w:top w:val="single" w:sz="6" w:space="0" w:color="4CAF50"/>
              <w:left w:val="single" w:sz="6" w:space="0" w:color="4CAF50"/>
              <w:bottom w:val="single" w:sz="6" w:space="0" w:color="4CAF50"/>
              <w:right w:val="single" w:sz="6" w:space="0" w:color="4CAF50"/>
            </w:tcBorders>
          </w:tcPr>
          <w:p>
            <w:pPr>
              <w:spacing w:before="120" w:after="120"/>
            </w:pPr>
            <w:r>
              <w:rPr>
                <w:rFonts w:ascii="Arial" w:hAnsi="Arial"/>
                <w:b/>
                <w:color w:val="14501E"/>
                <w:sz w:val="20"/>
              </w:rPr>
              <w:t xml:space="preserve">✅  Best for: </w:t>
            </w:r>
            <w:r>
              <w:rPr>
                <w:rFonts w:ascii="Arial" w:hAnsi="Arial"/>
                <w:color w:val="14501E"/>
                <w:sz w:val="22"/>
              </w:rPr>
              <w:t>Scientists, engineers, and PhDs building hard science or climate tech startups where the technical innovation is the primary value driver.</w:t>
            </w:r>
          </w:p>
        </w:tc>
      </w:tr>
    </w:tbl>
    <w:p>
      <w:pPr>
        <w:spacing w:after="120"/>
      </w:pPr>
    </w:p>
    <w:p>
      <w:pPr>
        <w:pStyle w:val="Heading3"/>
        <w:spacing w:before="200" w:after="120"/>
      </w:pPr>
      <w:r>
        <w:rPr>
          <w:rFonts w:ascii="Arial" w:hAnsi="Arial"/>
          <w:b/>
          <w:color w:val="142864"/>
          <w:sz w:val="26"/>
        </w:rPr>
        <w:t>15. 8X Ventures</w:t>
      </w: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F0F4FF"/>
            <w:tcW w:w="1600" w:type="dxa"/>
            <w:tcBorders>
              <w:top w:val="single" w:sz="2" w:space="0" w:color="C5D0E8"/>
              <w:left w:val="single" w:sz="2" w:space="0" w:color="C5D0E8"/>
              <w:bottom w:val="single" w:sz="2" w:space="0" w:color="C5D0E8"/>
              <w:right w:val="single" w:sz="2" w:space="0" w:color="C5D0E8"/>
            </w:tcBorders>
            <w:vAlign w:val="center"/>
          </w:tcPr>
          <w:p>
            <w:pPr>
              <w:spacing w:before="80" w:after="80"/>
            </w:pPr>
            <w:r>
              <w:rPr>
                <w:rFonts w:ascii="Arial" w:hAnsi="Arial"/>
                <w:b/>
                <w:color w:val="5064A0"/>
                <w:sz w:val="16"/>
              </w:rPr>
              <w:t>🏢 HQ</w:t>
              <w:br/>
            </w:r>
            <w:r>
              <w:rPr>
                <w:rFonts w:ascii="Arial" w:hAnsi="Arial"/>
                <w:color w:val="141E3C"/>
                <w:sz w:val="18"/>
              </w:rPr>
              <w:t>Bengaluru</w:t>
            </w:r>
          </w:p>
        </w:tc>
        <w:tc>
          <w:tcPr>
            <w:tcW w:type="dxa" w:w="2340"/>
            <w:shd w:val="clear" w:color="auto" w:fill="F0F4FF"/>
            <w:tcW w:w="1700" w:type="dxa"/>
            <w:tcBorders>
              <w:top w:val="single" w:sz="2" w:space="0" w:color="C5D0E8"/>
              <w:left w:val="single" w:sz="2" w:space="0" w:color="C5D0E8"/>
              <w:bottom w:val="single" w:sz="2" w:space="0" w:color="C5D0E8"/>
              <w:right w:val="single" w:sz="2" w:space="0" w:color="C5D0E8"/>
            </w:tcBorders>
            <w:vAlign w:val="center"/>
          </w:tcPr>
          <w:p>
            <w:pPr>
              <w:spacing w:before="80" w:after="80"/>
            </w:pPr>
            <w:r>
              <w:rPr>
                <w:rFonts w:ascii="Arial" w:hAnsi="Arial"/>
                <w:b/>
                <w:color w:val="5064A0"/>
                <w:sz w:val="16"/>
              </w:rPr>
              <w:t>📈 Stage</w:t>
              <w:br/>
            </w:r>
            <w:r>
              <w:rPr>
                <w:rFonts w:ascii="Arial" w:hAnsi="Arial"/>
                <w:color w:val="141E3C"/>
                <w:sz w:val="18"/>
              </w:rPr>
              <w:t>Pre-seed to Seed</w:t>
            </w:r>
          </w:p>
        </w:tc>
        <w:tc>
          <w:tcPr>
            <w:tcW w:type="dxa" w:w="2340"/>
            <w:shd w:val="clear" w:color="auto" w:fill="F0F4FF"/>
            <w:tcW w:w="1800" w:type="dxa"/>
            <w:tcBorders>
              <w:top w:val="single" w:sz="2" w:space="0" w:color="C5D0E8"/>
              <w:left w:val="single" w:sz="2" w:space="0" w:color="C5D0E8"/>
              <w:bottom w:val="single" w:sz="2" w:space="0" w:color="C5D0E8"/>
              <w:right w:val="single" w:sz="2" w:space="0" w:color="C5D0E8"/>
            </w:tcBorders>
            <w:vAlign w:val="center"/>
          </w:tcPr>
          <w:p>
            <w:pPr>
              <w:spacing w:before="80" w:after="80"/>
            </w:pPr>
            <w:r>
              <w:rPr>
                <w:rFonts w:ascii="Arial" w:hAnsi="Arial"/>
                <w:b/>
                <w:color w:val="5064A0"/>
                <w:sz w:val="16"/>
              </w:rPr>
              <w:t>💰 Cheque</w:t>
              <w:br/>
            </w:r>
            <w:r>
              <w:rPr>
                <w:rFonts w:ascii="Arial" w:hAnsi="Arial"/>
                <w:color w:val="141E3C"/>
                <w:sz w:val="18"/>
              </w:rPr>
              <w:t>$200K – $1M</w:t>
            </w:r>
          </w:p>
        </w:tc>
        <w:tc>
          <w:tcPr>
            <w:tcW w:type="dxa" w:w="2340"/>
            <w:shd w:val="clear" w:color="auto" w:fill="F0F4FF"/>
            <w:tcW w:w="3860" w:type="dxa"/>
            <w:tcBorders>
              <w:top w:val="single" w:sz="2" w:space="0" w:color="C5D0E8"/>
              <w:left w:val="single" w:sz="2" w:space="0" w:color="C5D0E8"/>
              <w:bottom w:val="single" w:sz="2" w:space="0" w:color="C5D0E8"/>
              <w:right w:val="single" w:sz="2" w:space="0" w:color="C5D0E8"/>
            </w:tcBorders>
            <w:vAlign w:val="center"/>
          </w:tcPr>
          <w:p>
            <w:pPr>
              <w:spacing w:before="80" w:after="80"/>
            </w:pPr>
            <w:r>
              <w:rPr>
                <w:rFonts w:ascii="Arial" w:hAnsi="Arial"/>
                <w:b/>
                <w:color w:val="5064A0"/>
                <w:sz w:val="16"/>
              </w:rPr>
              <w:t>🏦 Fund size</w:t>
              <w:br/>
            </w:r>
            <w:r>
              <w:rPr>
                <w:rFonts w:ascii="Arial" w:hAnsi="Arial"/>
                <w:color w:val="141E3C"/>
                <w:sz w:val="18"/>
              </w:rPr>
              <w:t>Active — emerging deeptech fund</w:t>
            </w:r>
          </w:p>
        </w:tc>
      </w:tr>
    </w:tbl>
    <w:p>
      <w:pPr>
        <w:spacing w:after="80"/>
      </w:pPr>
    </w:p>
    <w:p>
      <w:pPr>
        <w:spacing w:after="80" w:before="0"/>
        <w:jc w:val="left"/>
      </w:pPr>
      <w:r>
        <w:rPr>
          <w:rFonts w:ascii="Arial" w:hAnsi="Arial"/>
          <w:b/>
          <w:i w:val="0"/>
          <w:color w:val="283C78"/>
          <w:sz w:val="20"/>
        </w:rPr>
        <w:t>Sectors: Deeptech, AI hardware, robotics, semiconductors, advanced manufacturing</w:t>
      </w:r>
    </w:p>
    <w:p>
      <w:pPr>
        <w:spacing w:after="120" w:before="0"/>
        <w:jc w:val="left"/>
      </w:pPr>
      <w:r>
        <w:rPr>
          <w:rFonts w:ascii="Arial" w:hAnsi="Arial"/>
          <w:b w:val="0"/>
          <w:i/>
          <w:color w:val="505064"/>
          <w:sz w:val="20"/>
        </w:rPr>
        <w:t>Notable portfolio: Multiple early-stage hardware and deeptech companies</w:t>
      </w:r>
    </w:p>
    <w:p>
      <w:pPr>
        <w:spacing w:after="40" w:before="0"/>
        <w:jc w:val="left"/>
      </w:pPr>
      <w:r>
        <w:rPr>
          <w:rFonts w:ascii="Arial" w:hAnsi="Arial"/>
          <w:b/>
          <w:i w:val="0"/>
          <w:color w:val="3C3C50"/>
          <w:sz w:val="20"/>
        </w:rPr>
        <w:t>Investment thesis</w:t>
      </w:r>
    </w:p>
    <w:p>
      <w:pPr>
        <w:spacing w:after="120" w:before="0"/>
        <w:jc w:val="left"/>
      </w:pPr>
      <w:r>
        <w:rPr>
          <w:rFonts w:ascii="Arial" w:hAnsi="Arial"/>
          <w:b w:val="0"/>
          <w:i w:val="0"/>
          <w:sz w:val="22"/>
        </w:rPr>
        <w:t>8X Ventures occupies the frontier of India's micro VC landscape — they back founders working on problems that require genuine scientific or engineering breakthroughs, not software iteration. With India's semiconductor and advanced manufacturing ambitions becoming national policy priorities, 8X is positioned at exactly the right moment in the country's industrial evolution.</w:t>
      </w:r>
    </w:p>
    <w:p>
      <w:pPr>
        <w:spacing w:after="40" w:before="0"/>
        <w:jc w:val="left"/>
      </w:pPr>
      <w:r>
        <w:rPr>
          <w:rFonts w:ascii="Arial" w:hAnsi="Arial"/>
          <w:b/>
          <w:i w:val="0"/>
          <w:color w:val="3C3C50"/>
          <w:sz w:val="20"/>
        </w:rPr>
        <w:t>How to approach</w:t>
      </w:r>
    </w:p>
    <w:p>
      <w:pPr>
        <w:spacing w:after="120" w:before="0"/>
        <w:jc w:val="left"/>
      </w:pPr>
      <w:r>
        <w:rPr>
          <w:rFonts w:ascii="Arial" w:hAnsi="Arial"/>
          <w:b w:val="0"/>
          <w:i w:val="0"/>
          <w:sz w:val="22"/>
        </w:rPr>
        <w:t>8X partners want to understand the technology deeply — expect to walk them through your architecture, your manufacturing assumptions, and your path to a working prototype. Academic or research collaborations are a positive signal. Speed-to-prototype matters more than speed-to-revenue here.</w:t>
      </w:r>
    </w:p>
    <w:tbl>
      <w:tblPr>
        <w:tblW w:type="auto" w:w="0"/>
        <w:jc w:val="center"/>
        <w:tblLook w:firstColumn="1" w:firstRow="1" w:lastColumn="0" w:lastRow="0" w:noHBand="0" w:noVBand="1" w:val="04A0"/>
      </w:tblPr>
      <w:tblGrid>
        <w:gridCol w:w="9360"/>
      </w:tblGrid>
      <w:tr>
        <w:tc>
          <w:tcPr>
            <w:tcW w:type="dxa" w:w="9360"/>
            <w:shd w:val="clear" w:color="auto" w:fill="E8F5E9"/>
            <w:tcBorders>
              <w:top w:val="single" w:sz="6" w:space="0" w:color="4CAF50"/>
              <w:left w:val="single" w:sz="6" w:space="0" w:color="4CAF50"/>
              <w:bottom w:val="single" w:sz="6" w:space="0" w:color="4CAF50"/>
              <w:right w:val="single" w:sz="6" w:space="0" w:color="4CAF50"/>
            </w:tcBorders>
          </w:tcPr>
          <w:p>
            <w:pPr>
              <w:spacing w:before="120" w:after="120"/>
            </w:pPr>
            <w:r>
              <w:rPr>
                <w:rFonts w:ascii="Arial" w:hAnsi="Arial"/>
                <w:b/>
                <w:color w:val="14501E"/>
                <w:sz w:val="20"/>
              </w:rPr>
              <w:t xml:space="preserve">✅  Best for: </w:t>
            </w:r>
            <w:r>
              <w:rPr>
                <w:rFonts w:ascii="Arial" w:hAnsi="Arial"/>
                <w:color w:val="14501E"/>
                <w:sz w:val="22"/>
              </w:rPr>
              <w:t>Founders with engineering PhDs or deep research backgrounds building hardware, semiconductors, or advanced manufacturing solutions.</w:t>
            </w:r>
          </w:p>
        </w:tc>
      </w:tr>
    </w:tbl>
    <w:p>
      <w:pPr>
        <w:spacing w:after="120"/>
      </w:pPr>
    </w:p>
    <w:p>
      <w:pPr>
        <w:pBdr>
          <w:bottom w:val="single" w:sz="4" w:space="1" w:color="CCCCCC"/>
        </w:pBdr>
        <w:spacing w:after="200" w:before="200"/>
      </w:pPr>
    </w:p>
    <w:p>
      <w:pPr>
        <w:pStyle w:val="Heading2"/>
        <w:spacing w:before="360" w:after="160"/>
      </w:pPr>
      <w:r>
        <w:rPr>
          <w:rFonts w:ascii="Arial" w:hAnsi="Arial"/>
          <w:b/>
          <w:color w:val="141428"/>
          <w:sz w:val="34"/>
        </w:rPr>
        <w:t>How to choose the right micro VC for your startup</w:t>
      </w:r>
    </w:p>
    <w:p>
      <w:pPr>
        <w:spacing w:after="160" w:before="0"/>
        <w:jc w:val="left"/>
      </w:pPr>
      <w:r>
        <w:rPr>
          <w:rFonts w:ascii="Arial" w:hAnsi="Arial"/>
          <w:b w:val="0"/>
          <w:i w:val="0"/>
          <w:sz w:val="22"/>
        </w:rPr>
        <w:t>With 250+ micro VC funds active in India, narrowing to the right 5 to 8 to approach is itself a skill. Here is a four-step filter that works regardless of sector or stage:</w:t>
      </w:r>
    </w:p>
    <w:p>
      <w:pPr>
        <w:pStyle w:val="Heading3"/>
        <w:spacing w:before="200" w:after="120"/>
      </w:pPr>
      <w:r>
        <w:rPr>
          <w:rFonts w:ascii="Arial" w:hAnsi="Arial"/>
          <w:b/>
          <w:color w:val="142864"/>
          <w:sz w:val="26"/>
        </w:rPr>
        <w:t>Step 1: Match category first, then fund</w:t>
      </w:r>
    </w:p>
    <w:p>
      <w:pPr>
        <w:spacing w:after="200" w:before="0"/>
        <w:jc w:val="left"/>
      </w:pPr>
      <w:r>
        <w:rPr>
          <w:rFonts w:ascii="Arial" w:hAnsi="Arial"/>
          <w:b w:val="0"/>
          <w:i w:val="0"/>
          <w:sz w:val="22"/>
        </w:rPr>
        <w:t>Do not start with a fund name. Start with your category. Are you B2B SaaS, consumer brand, deeptech, or sector-agnostic? The category determines which of the four buckets in this guide applies. Then pick 3 to 4 funds from that bucket, not 10 from across all categories.</w:t>
      </w:r>
    </w:p>
    <w:p>
      <w:pPr>
        <w:pStyle w:val="Heading3"/>
        <w:spacing w:before="200" w:after="120"/>
      </w:pPr>
      <w:r>
        <w:rPr>
          <w:rFonts w:ascii="Arial" w:hAnsi="Arial"/>
          <w:b/>
          <w:color w:val="142864"/>
          <w:sz w:val="26"/>
        </w:rPr>
        <w:t>Step 2: Check whether they lead or follow</w:t>
      </w:r>
    </w:p>
    <w:p>
      <w:pPr>
        <w:spacing w:after="200" w:before="0"/>
        <w:jc w:val="left"/>
      </w:pPr>
      <w:r>
        <w:rPr>
          <w:rFonts w:ascii="Arial" w:hAnsi="Arial"/>
          <w:b w:val="0"/>
          <w:i w:val="0"/>
          <w:sz w:val="22"/>
        </w:rPr>
        <w:t>Some micro VCs will only invest as part of a larger round led by another fund. Others — like Better Capital, Eximius, and GradCapital — actively lead rounds and help founders build out the rest of the cap table. If you are raising your very first round with no other investors yet, you need a fund that leads.</w:t>
      </w:r>
    </w:p>
    <w:p>
      <w:pPr>
        <w:pStyle w:val="Heading3"/>
        <w:spacing w:before="200" w:after="120"/>
      </w:pPr>
      <w:r>
        <w:rPr>
          <w:rFonts w:ascii="Arial" w:hAnsi="Arial"/>
          <w:b/>
          <w:color w:val="142864"/>
          <w:sz w:val="26"/>
        </w:rPr>
        <w:t>Step 3: Understand the reserve situation</w:t>
      </w:r>
    </w:p>
    <w:p>
      <w:pPr>
        <w:spacing w:after="200" w:before="0"/>
        <w:jc w:val="left"/>
      </w:pPr>
      <w:r>
        <w:rPr>
          <w:rFonts w:ascii="Arial" w:hAnsi="Arial"/>
          <w:b w:val="0"/>
          <w:i w:val="0"/>
          <w:sz w:val="22"/>
        </w:rPr>
        <w:t>A micro VC with no follow-on reserves cannot participate in your next round. That means you start your Series A with a small investor who cannot double down. This is fine if they bring strong signalling value. But if a fund has reserves and a track record of following on, that is meaningfully more valuable to your long-term cap table.</w:t>
      </w:r>
    </w:p>
    <w:p>
      <w:pPr>
        <w:pStyle w:val="Heading3"/>
        <w:spacing w:before="200" w:after="120"/>
      </w:pPr>
      <w:r>
        <w:rPr>
          <w:rFonts w:ascii="Arial" w:hAnsi="Arial"/>
          <w:b/>
          <w:color w:val="142864"/>
          <w:sz w:val="26"/>
        </w:rPr>
        <w:t>Step 4: Research their last 5 investments</w:t>
      </w:r>
    </w:p>
    <w:p>
      <w:pPr>
        <w:spacing w:after="200" w:before="0"/>
        <w:jc w:val="left"/>
      </w:pPr>
      <w:r>
        <w:rPr>
          <w:rFonts w:ascii="Arial" w:hAnsi="Arial"/>
          <w:b w:val="0"/>
          <w:i w:val="0"/>
          <w:sz w:val="22"/>
        </w:rPr>
        <w:t>The fastest way to understand what a micro VC actually backs is to look at their last five deals on Tracxn, Crunchbase, or their own LinkedIn posts. Stage, sector, geography, and founding team profile — the pattern will tell you more than any thesis statement.</w:t>
      </w:r>
    </w:p>
    <w:p>
      <w:pPr>
        <w:pBdr>
          <w:bottom w:val="single" w:sz="4" w:space="1" w:color="CCCCCC"/>
        </w:pBdr>
        <w:spacing w:after="200" w:before="200"/>
      </w:pPr>
    </w:p>
    <w:p>
      <w:pPr>
        <w:pStyle w:val="Heading2"/>
        <w:spacing w:before="360" w:after="160"/>
      </w:pPr>
      <w:r>
        <w:rPr>
          <w:rFonts w:ascii="Arial" w:hAnsi="Arial"/>
          <w:b/>
          <w:color w:val="141428"/>
          <w:sz w:val="34"/>
        </w:rPr>
        <w:t>Frequently asked questions</w:t>
      </w:r>
    </w:p>
    <w:tbl>
      <w:tblPr>
        <w:tblW w:type="auto" w:w="0"/>
        <w:jc w:val="center"/>
        <w:tblLook w:firstColumn="1" w:firstRow="1" w:lastColumn="0" w:lastRow="0" w:noHBand="0" w:noVBand="1" w:val="04A0"/>
      </w:tblPr>
      <w:tblGrid>
        <w:gridCol w:w="9360"/>
      </w:tblGrid>
      <w:tr>
        <w:tc>
          <w:tcPr>
            <w:tcW w:type="dxa" w:w="9360"/>
            <w:shd w:val="clear" w:color="auto" w:fill="EEF2FF"/>
            <w:tcBorders>
              <w:top w:val="single" w:sz="8" w:space="0" w:color="5B62D6"/>
              <w:left w:val="single" w:sz="8" w:space="0" w:color="5B62D6"/>
              <w:bottom w:val="single" w:sz="8" w:space="0" w:color="5B62D6"/>
              <w:right w:val="single" w:sz="8" w:space="0" w:color="5B62D6"/>
            </w:tcBorders>
          </w:tcPr>
          <w:p>
            <w:pPr>
              <w:spacing w:before="160"/>
            </w:pPr>
            <w:r>
              <w:rPr>
                <w:rFonts w:ascii="Arial" w:hAnsi="Arial"/>
                <w:b/>
                <w:color w:val="281E78"/>
                <w:sz w:val="20"/>
              </w:rPr>
              <w:t>ℹ️  Add FAQ schema markup in your CMS for featured snippet eligibility</w:t>
            </w:r>
          </w:p>
          <w:p>
            <w:pPr>
              <w:spacing w:after="160"/>
            </w:pPr>
            <w:r>
              <w:rPr>
                <w:rFonts w:ascii="Arial" w:hAnsi="Arial"/>
                <w:color w:val="281E78"/>
                <w:sz w:val="22"/>
              </w:rPr>
              <w:t>Use the FAQPage schema type with each Q&amp;A as a Question entity.</w:t>
            </w:r>
          </w:p>
        </w:tc>
      </w:tr>
    </w:tbl>
    <w:p>
      <w:pPr>
        <w:spacing w:after="120"/>
      </w:pPr>
    </w:p>
    <w:p>
      <w:pPr>
        <w:spacing w:before="200" w:after="80"/>
      </w:pPr>
      <w:r>
        <w:rPr>
          <w:rFonts w:ascii="Arial" w:hAnsi="Arial"/>
          <w:b/>
          <w:color w:val="142864"/>
          <w:sz w:val="22"/>
        </w:rPr>
        <w:t>Q: What is a micro VC in India?</w:t>
      </w:r>
    </w:p>
    <w:p>
      <w:pPr>
        <w:spacing w:after="240" w:before="0"/>
        <w:jc w:val="left"/>
      </w:pPr>
      <w:r>
        <w:rPr>
          <w:rFonts w:ascii="Arial" w:hAnsi="Arial"/>
          <w:b w:val="0"/>
          <w:i w:val="0"/>
          <w:sz w:val="22"/>
        </w:rPr>
        <w:t>A: A micro VC in India is a venture capital fund with a corpus under $40M that focuses on writing early-stage first cheques — typically at the pre-seed or seed stage. As of 2026, there are over 250 active micro VC and early-stage funds in India, up from around 100 in 2022. They fill the gap between angel investors and larger institutional seed funds.</w:t>
      </w:r>
    </w:p>
    <w:p>
      <w:pPr>
        <w:spacing w:before="200" w:after="80"/>
      </w:pPr>
      <w:r>
        <w:rPr>
          <w:rFonts w:ascii="Arial" w:hAnsi="Arial"/>
          <w:b/>
          <w:color w:val="142864"/>
          <w:sz w:val="22"/>
        </w:rPr>
        <w:t>Q: How much do micro VCs invest in Indian startups?</w:t>
      </w:r>
    </w:p>
    <w:p>
      <w:pPr>
        <w:spacing w:after="240" w:before="0"/>
        <w:jc w:val="left"/>
      </w:pPr>
      <w:r>
        <w:rPr>
          <w:rFonts w:ascii="Arial" w:hAnsi="Arial"/>
          <w:b w:val="0"/>
          <w:i w:val="0"/>
          <w:sz w:val="22"/>
        </w:rPr>
        <w:t>A: Indian micro VCs typically write initial cheques of ₹50 lakh to ₹5 crore ($100K to $800K), with some early-stage funds in the $40–100M range writing up to $1.5M. Cheque size depends on the fund's corpus and how concentrated their bets are — a smaller fund writing a larger cheque signals higher conviction.</w:t>
      </w:r>
    </w:p>
    <w:p>
      <w:pPr>
        <w:spacing w:before="200" w:after="80"/>
      </w:pPr>
      <w:r>
        <w:rPr>
          <w:rFonts w:ascii="Arial" w:hAnsi="Arial"/>
          <w:b/>
          <w:color w:val="142864"/>
          <w:sz w:val="22"/>
        </w:rPr>
        <w:t>Q: What do micro VCs look for that large VCs don't?</w:t>
      </w:r>
    </w:p>
    <w:p>
      <w:pPr>
        <w:spacing w:after="240" w:before="0"/>
        <w:jc w:val="left"/>
      </w:pPr>
      <w:r>
        <w:rPr>
          <w:rFonts w:ascii="Arial" w:hAnsi="Arial"/>
          <w:b w:val="0"/>
          <w:i w:val="0"/>
          <w:sz w:val="22"/>
        </w:rPr>
        <w:t>A: Micro VCs invest before most metrics exist. They evaluate founder conviction, problem clarity, founder-market fit, early user insight, and the quality of thinking behind the thesis. Large VCs want traction — micro VCs want to see evidence that you understand the problem better than anyone else.</w:t>
      </w:r>
    </w:p>
    <w:p>
      <w:pPr>
        <w:spacing w:before="200" w:after="80"/>
      </w:pPr>
      <w:r>
        <w:rPr>
          <w:rFonts w:ascii="Arial" w:hAnsi="Arial"/>
          <w:b/>
          <w:color w:val="142864"/>
          <w:sz w:val="22"/>
        </w:rPr>
        <w:t>Q: Do micro VCs in India lead rounds or only follow?</w:t>
      </w:r>
    </w:p>
    <w:p>
      <w:pPr>
        <w:spacing w:after="240" w:before="0"/>
        <w:jc w:val="left"/>
      </w:pPr>
      <w:r>
        <w:rPr>
          <w:rFonts w:ascii="Arial" w:hAnsi="Arial"/>
          <w:b w:val="0"/>
          <w:i w:val="0"/>
          <w:sz w:val="22"/>
        </w:rPr>
        <w:t>A: Both exist. Funds like Better Capital, Eximius Ventures, 100X.VC, GradCapital, and Titan Capital actively lead rounds and help founders build out their cap table. Others prefer to co-invest alongside a lead. Always clarify lead ability before adding a fund to your shortlist.</w:t>
      </w:r>
    </w:p>
    <w:p>
      <w:pPr>
        <w:spacing w:before="200" w:after="80"/>
      </w:pPr>
      <w:r>
        <w:rPr>
          <w:rFonts w:ascii="Arial" w:hAnsi="Arial"/>
          <w:b/>
          <w:color w:val="142864"/>
          <w:sz w:val="22"/>
        </w:rPr>
        <w:t>Q: Where can I find a complete list of micro VCs in India?</w:t>
      </w:r>
    </w:p>
    <w:p>
      <w:pPr>
        <w:spacing w:after="240" w:before="0"/>
        <w:jc w:val="left"/>
      </w:pPr>
      <w:r>
        <w:rPr>
          <w:rFonts w:ascii="Arial" w:hAnsi="Arial"/>
          <w:b w:val="0"/>
          <w:i w:val="0"/>
          <w:sz w:val="22"/>
        </w:rPr>
        <w:t>A: Blume Ventures published a validated list of ~200 sub-$100M funds in their April 2026 micro VC landscape report. Tracxn and Crunchbase also maintain searchable databases. VC Dekho is building a platform where you can filter Indian VCs and micro VCs by stage, sector, cheque size, and geography — join the waitlist at vcdekho.com.</w:t>
      </w:r>
    </w:p>
    <w:p>
      <w:pPr>
        <w:pBdr>
          <w:bottom w:val="single" w:sz="4" w:space="1" w:color="CCCCCC"/>
        </w:pBdr>
        <w:spacing w:after="200" w:before="200"/>
      </w:pPr>
    </w:p>
    <w:p>
      <w:pPr>
        <w:pStyle w:val="Heading2"/>
        <w:spacing w:before="360" w:after="160"/>
      </w:pPr>
      <w:r>
        <w:rPr>
          <w:rFonts w:ascii="Arial" w:hAnsi="Arial"/>
          <w:b/>
          <w:color w:val="141428"/>
          <w:sz w:val="34"/>
        </w:rPr>
        <w:t>The first cheque is the hardest — but there are more options than ever</w:t>
      </w:r>
    </w:p>
    <w:p>
      <w:pPr>
        <w:spacing w:after="160" w:before="0"/>
        <w:jc w:val="left"/>
      </w:pPr>
      <w:r>
        <w:rPr>
          <w:rFonts w:ascii="Arial" w:hAnsi="Arial"/>
          <w:b w:val="0"/>
          <w:i w:val="0"/>
          <w:sz w:val="22"/>
        </w:rPr>
        <w:t>In 2020, a pre-seed founder in India had a handful of options. In 2026, they have over 250. That sounds like progress — and it is — but it also means the research burden on founders has multiplied. Knowing which of those 250 funds actually matches your stage, sector, and founder profile is the work that separates founders who close rounds fast from founders who spend six months getting polite rejections.</w:t>
      </w:r>
    </w:p>
    <w:p>
      <w:pPr>
        <w:spacing w:after="320" w:before="0"/>
        <w:jc w:val="left"/>
      </w:pPr>
      <w:r>
        <w:rPr>
          <w:rFonts w:ascii="Arial" w:hAnsi="Arial"/>
          <w:b w:val="0"/>
          <w:i/>
          <w:color w:val="185FA5"/>
          <w:sz w:val="22"/>
        </w:rPr>
        <w:t>Use this guide as your starting point. For a deeper look at how to research any VC's thesis before you pitch, read our guide: What Is a VC Investment Thesis? A Founder's Guide to Reading One.</w:t>
      </w:r>
    </w:p>
    <w:tbl>
      <w:tblPr>
        <w:tblW w:type="auto" w:w="0"/>
        <w:jc w:val="center"/>
        <w:tblLook w:firstColumn="1" w:firstRow="1" w:lastColumn="0" w:lastRow="0" w:noHBand="0" w:noVBand="1" w:val="04A0"/>
      </w:tblPr>
      <w:tblGrid>
        <w:gridCol w:w="9360"/>
      </w:tblGrid>
      <w:tr>
        <w:tc>
          <w:tcPr>
            <w:tcW w:type="dxa" w:w="9360"/>
            <w:shd w:val="clear" w:color="auto" w:fill="E8F4FB"/>
            <w:tcBorders>
              <w:top w:val="single" w:sz="6" w:space="0" w:color="185FA5"/>
              <w:left w:val="single" w:sz="6" w:space="0" w:color="185FA5"/>
              <w:bottom w:val="single" w:sz="6" w:space="0" w:color="185FA5"/>
              <w:right w:val="single" w:sz="6" w:space="0" w:color="185FA5"/>
            </w:tcBorders>
          </w:tcPr>
          <w:p>
            <w:pPr>
              <w:spacing w:before="200"/>
              <w:jc w:val="center"/>
            </w:pPr>
            <w:r>
              <w:rPr>
                <w:rFonts w:ascii="Arial" w:hAnsi="Arial"/>
                <w:b/>
                <w:color w:val="185FA5"/>
                <w:sz w:val="22"/>
              </w:rPr>
              <w:t>📷  IMAGE 4 — VC DEKHO CTA BANNER</w:t>
            </w:r>
          </w:p>
          <w:p>
            <w:pPr>
              <w:jc w:val="center"/>
            </w:pPr>
            <w:r>
              <w:rPr>
                <w:rFonts w:ascii="Arial" w:hAnsi="Arial"/>
                <w:color w:val="3C3C50"/>
                <w:sz w:val="20"/>
              </w:rPr>
              <w:t>Branded banner: 'Find the right micro VC for your startup — in minutes.'</w:t>
              <w:br/>
              <w:t>Sub-text: 'Stage · Sector · Cheque size · Direct contacts · All in one place'</w:t>
              <w:br/>
              <w:t>CTA button: 'Join the waitlist → vcdekho.com'</w:t>
              <w:br/>
              <w:t>Dimensions: 1200 × 400 px. VC Dekho branded.</w:t>
            </w:r>
          </w:p>
          <w:p>
            <w:pPr>
              <w:spacing w:after="200"/>
              <w:jc w:val="center"/>
            </w:pPr>
            <w:r>
              <w:rPr>
                <w:rFonts w:ascii="Arial" w:hAnsi="Arial"/>
                <w:i/>
                <w:color w:val="78788C"/>
                <w:sz w:val="18"/>
              </w:rPr>
              <w:t>Alt text: "VC Dekho — research micro VCs and early-stage investors in India by stage and sector"</w:t>
            </w:r>
          </w:p>
        </w:tc>
      </w:tr>
    </w:tbl>
    <w:p>
      <w:pPr>
        <w:spacing w:after="120"/>
      </w:pPr>
    </w:p>
    <w:tbl>
      <w:tblPr>
        <w:tblW w:type="auto" w:w="0"/>
        <w:jc w:val="center"/>
        <w:tblLook w:firstColumn="1" w:firstRow="1" w:lastColumn="0" w:lastRow="0" w:noHBand="0" w:noVBand="1" w:val="04A0"/>
      </w:tblPr>
      <w:tblGrid>
        <w:gridCol w:w="9360"/>
      </w:tblGrid>
      <w:tr>
        <w:tc>
          <w:tcPr>
            <w:tcW w:type="dxa" w:w="9360"/>
            <w:shd w:val="clear" w:color="auto" w:fill="E8F0FE"/>
            <w:tcBorders>
              <w:top w:val="single" w:sz="8" w:space="0" w:color="1A73E8"/>
              <w:left w:val="single" w:sz="8" w:space="0" w:color="1A73E8"/>
              <w:bottom w:val="single" w:sz="8" w:space="0" w:color="1A73E8"/>
              <w:right w:val="single" w:sz="8" w:space="0" w:color="1A73E8"/>
            </w:tcBorders>
          </w:tcPr>
          <w:p>
            <w:pPr>
              <w:spacing w:before="160"/>
            </w:pPr>
            <w:r>
              <w:rPr>
                <w:rFonts w:ascii="Arial" w:hAnsi="Arial"/>
                <w:b/>
                <w:color w:val="0A2878"/>
                <w:sz w:val="20"/>
              </w:rPr>
              <w:t>🚀  Find your right micro VC in one place — VC Dekho</w:t>
            </w:r>
          </w:p>
          <w:p>
            <w:pPr>
              <w:spacing w:after="160"/>
            </w:pPr>
            <w:r>
              <w:rPr>
                <w:rFonts w:ascii="Arial" w:hAnsi="Arial"/>
                <w:color w:val="0A2878"/>
                <w:sz w:val="22"/>
              </w:rPr>
              <w:t>VC Dekho is building India's most complete investor research platform. Filter by stage, sector, cheque size, and geography — and unlock direct contacts for the micro VCs and seed funds that match your startup.</w:t>
              <w:br/>
              <w:br/>
              <w:t>Join the waitlist → vcdekho.com</w:t>
            </w:r>
          </w:p>
        </w:tc>
      </w:tr>
    </w:tbl>
    <w:p>
      <w:pPr>
        <w:spacing w:after="120"/>
      </w:pPr>
    </w:p>
    <w:p>
      <w:pPr>
        <w:pBdr>
          <w:bottom w:val="single" w:sz="4" w:space="1" w:color="CCCCCC"/>
        </w:pBdr>
        <w:spacing w:after="200" w:before="200"/>
      </w:pPr>
    </w:p>
    <w:tbl>
      <w:tblPr>
        <w:tblW w:type="auto" w:w="0"/>
        <w:jc w:val="center"/>
        <w:tblLook w:firstColumn="1" w:firstRow="1" w:lastColumn="0" w:lastRow="0" w:noHBand="0" w:noVBand="1" w:val="04A0"/>
      </w:tblPr>
      <w:tblGrid>
        <w:gridCol w:w="9360"/>
      </w:tblGrid>
      <w:tr>
        <w:tc>
          <w:tcPr>
            <w:tcW w:type="dxa" w:w="9360"/>
            <w:shd w:val="clear" w:color="auto" w:fill="FFF8E1"/>
            <w:tcBorders>
              <w:top w:val="single" w:sz="8" w:space="0" w:color="F59E0B"/>
              <w:left w:val="single" w:sz="8" w:space="0" w:color="F59E0B"/>
              <w:bottom w:val="single" w:sz="8" w:space="0" w:color="F59E0B"/>
              <w:right w:val="single" w:sz="8" w:space="0" w:color="F59E0B"/>
            </w:tcBorders>
          </w:tcPr>
          <w:p>
            <w:pPr>
              <w:spacing w:before="160"/>
            </w:pPr>
            <w:r>
              <w:rPr>
                <w:rFonts w:ascii="Arial" w:hAnsi="Arial"/>
                <w:b/>
                <w:color w:val="503200"/>
                <w:sz w:val="20"/>
              </w:rPr>
              <w:t>📝  EDITOR / PUBLISHER NOTES — remove before publishing</w:t>
            </w:r>
          </w:p>
          <w:p>
            <w:pPr>
              <w:spacing w:after="160"/>
            </w:pPr>
            <w:r>
              <w:rPr>
                <w:rFonts w:ascii="Arial" w:hAnsi="Arial"/>
                <w:color w:val="503200"/>
                <w:sz w:val="22"/>
              </w:rPr>
              <w:t>1. Replace all 4 image placeholders with designed visuals.</w:t>
              <w:br/>
              <w:t>2. Add FAQ schema markup (FAQPage JSON-LD) in the &lt;head&gt;.</w:t>
              <w:br/>
              <w:t>3. Add breadcrumb schema (BreadcrumbList JSON-LD).</w:t>
              <w:br/>
              <w:t>4. Internal links to add:</w:t>
              <w:br/>
              <w:t xml:space="preserve">   — 'Top 20 VC Firms in India' → /blog/top-vc-firms-india</w:t>
              <w:br/>
              <w:t xml:space="preserve">   — 'What Is a VC Investment Thesis' → /blog/what-is-vc-investment-thesis</w:t>
              <w:br/>
              <w:t xml:space="preserve">   — 'How to Find the Right VC' → /blog/how-to-find-right-vc  (Blog 4, when published)</w:t>
              <w:br/>
              <w:t>5. Set meta title and description from SEO block at the top of this doc.</w:t>
              <w:br/>
              <w:t>6. URL slug: /blog/micro-vcs-india-first-cheque</w:t>
              <w:br/>
              <w:t>7. Add 'Last updated: June 2026' near the H1.</w:t>
              <w:br/>
              <w:t>8. Compress all images to &lt;200KB in WebP format.</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