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Multi-Agent Genie Workflows: Powering Internal Copilots and Client-Facing Assistants</w:t>
      </w:r>
    </w:p>
    <w:p>
      <w:pPr>
        <w:pBdr>
          <w:bottom w:val="single" w:color="2E74B5" w:sz="8" w:space="8"/>
        </w:pBdr>
        <w:spacing w:after="300"/>
      </w:pPr>
    </w:p>
    <w:p>
      <w:pPr>
        <w:pStyle w:val="Heading2"/>
        <w:spacing w:after="160" w:before="340"/>
      </w:pPr>
      <w:r>
        <w:rPr>
          <w:b/>
          <w:bCs/>
          <w:color w:val="1F3864"/>
          <w:sz w:val="27"/>
          <w:szCs w:val="27"/>
        </w:rPr>
        <w:t xml:space="preserve">Introduction</w:t>
      </w:r>
    </w:p>
    <w:p>
      <w:pPr>
        <w:spacing w:after="200" w:line="300"/>
        <w:jc w:val="both"/>
      </w:pPr>
      <w:r>
        <w:rPr>
          <w:sz w:val="23"/>
          <w:szCs w:val="23"/>
        </w:rPr>
        <w:t xml:space="preserve">A single Genie Agent is deliberately narrow: it's scoped to a specific business topic, capped at 30 tables or views, and works best when it answers questions for one domain and one audience. That's a feature, not a limitation — narrow scope is what makes a Genie Agent's answers reliable. But real internal copilots and client-facing assistants rarely stay inside one domain. A single conversation might need sales data, product documentation, and a support ticket lookup in the same answer. That's where multi-agent Genie workflows come in: instead of building one Genie Agent that tries to do everything, you compose several specialized agents — Genie Agents alongside other tools and endpoints — and let an orchestrating layer route each request to the right one, then synthesize the results into a single response.</w:t>
      </w:r>
    </w:p>
    <w:p>
      <w:pPr>
        <w:spacing w:after="200" w:line="300"/>
        <w:jc w:val="both"/>
      </w:pPr>
      <w:r>
        <w:rPr>
          <w:sz w:val="23"/>
          <w:szCs w:val="23"/>
        </w:rPr>
        <w:t xml:space="preserve">Databricks currently supports two main paths to build this kind of system: Supervisor Agent, a low-code UI-driven orchestrator, and a custom orchestrator built on Databricks Apps for teams that need routing logic Supervisor Agent doesn't support. Both can combine Genie Agents with other subagents — knowledge assistants, Unity Catalog functions, dashboards, and more — to power copilots that serve internal teams or external clients.</w:t>
      </w:r>
    </w:p>
    <w:p>
      <w:pPr>
        <w:pStyle w:val="Heading2"/>
        <w:spacing w:after="160" w:before="340"/>
      </w:pPr>
      <w:r>
        <w:rPr>
          <w:b/>
          <w:bCs/>
          <w:color w:val="1F3864"/>
          <w:sz w:val="27"/>
          <w:szCs w:val="27"/>
        </w:rPr>
        <w:t xml:space="preserve">Why Compose Multiple Agents Instead of One Big Genie Agent</w:t>
      </w:r>
    </w:p>
    <w:p>
      <w:pPr>
        <w:spacing w:after="200" w:line="300"/>
        <w:jc w:val="both"/>
      </w:pPr>
      <w:r>
        <w:rPr>
          <w:sz w:val="23"/>
          <w:szCs w:val="23"/>
        </w:rPr>
        <w:t xml:space="preserve">Multi-agent systems consist of multiple agents working together, each with specialized capabilities. A Genie Agent's strength is letting users query structured data in natural language; it's not designed to also search unstructured documents, call external APIs, or reason over a knowledge base. Rather than stretching a single agent past what it's built for, Databricks' guidance is to break an application into smaller, independent agents and compose them into a multi-agent system — for example, a Genie Agent for structured sales data alongside a function-calling agent that queries a vector search index for unstructured documents.</w:t>
      </w:r>
    </w:p>
    <w:p>
      <w:pPr>
        <w:spacing w:after="200" w:line="300"/>
        <w:jc w:val="both"/>
      </w:pPr>
      <w:r>
        <w:rPr>
          <w:sz w:val="23"/>
          <w:szCs w:val="23"/>
        </w:rPr>
        <w:t xml:space="preserve">This composition pattern also maps naturally onto how enterprise data is actually organized: different domains (sales, support, product) typically already have their own governed tables and Unity Catalog structures. Giving each domain its own well-scoped Genie Agent, and then coordinating across them, keeps each agent's data pattern organization clean while still giving end users a single point of entry.</w:t>
      </w:r>
    </w:p>
    <w:p>
      <w:pPr>
        <w:pStyle w:val="Heading2"/>
        <w:spacing w:after="160" w:before="340"/>
      </w:pPr>
      <w:r>
        <w:rPr>
          <w:b/>
          <w:bCs/>
          <w:color w:val="1F3864"/>
          <w:sz w:val="27"/>
          <w:szCs w:val="27"/>
        </w:rPr>
        <w:t xml:space="preserve">Path 1: Supervisor Agent — Low-Code Orchestration</w:t>
      </w:r>
    </w:p>
    <w:p>
      <w:pPr>
        <w:spacing w:after="200" w:line="300"/>
        <w:jc w:val="both"/>
      </w:pPr>
      <w:r>
        <w:rPr>
          <w:sz w:val="23"/>
          <w:szCs w:val="23"/>
        </w:rPr>
        <w:t xml:space="preserve">Supervisor Agent lets you create a supervisor system that coordinates Genie Agents, agent endpoints, Unity Catalog functions, MCP servers, and custom agents to work together on complex tasks across specialized domains. It uses AI orchestration patterns to manage task delegation and result synthesis, and it builds the coordination logic for you rather than requiring you to write an orchestrator from scratch. Databricks positions it as well suited to use cases like cross-domain market analysis, answering questions about internal processes, and speeding up customer service by answering policy, FAQ, and account questions — covering both internal-copilot and client-facing scenarios.</w:t>
      </w:r>
    </w:p>
    <w:p>
      <w:pPr>
        <w:pStyle w:val="Heading3"/>
        <w:spacing w:after="120" w:before="240"/>
      </w:pPr>
      <w:r>
        <w:rPr>
          <w:b/>
          <w:bCs/>
          <w:color w:val="2E74B5"/>
          <w:sz w:val="24"/>
          <w:szCs w:val="24"/>
        </w:rPr>
        <w:t xml:space="preserve">Supported subagents</w:t>
      </w:r>
    </w:p>
    <w:p>
      <w:pPr>
        <w:spacing w:after="200" w:line="300"/>
        <w:jc w:val="both"/>
      </w:pPr>
      <w:r>
        <w:rPr>
          <w:sz w:val="23"/>
          <w:szCs w:val="23"/>
        </w:rPr>
        <w:t xml:space="preserve">A supervisor can coordinate a wide range of subagent types, each with its own required end-user permission: Genie Agents (requiring access to the agent and its underlying Unity Catalog objects), published dashboards, Knowledge Assistant agent endpoints, model serving endpoints, Unity Catalog functions, tables, and volumes, AI Search indexes, other Supervisor Agents, built-in web search, and external or custom MCP servers. You can add up to 50 different agents and tools to a single supervisor.</w:t>
      </w:r>
    </w:p>
    <w:p>
      <w:pPr>
        <w:pStyle w:val="Heading3"/>
        <w:spacing w:after="120" w:before="240"/>
      </w:pPr>
      <w:r>
        <w:rPr>
          <w:b/>
          <w:bCs/>
          <w:color w:val="2E74B5"/>
          <w:sz w:val="24"/>
          <w:szCs w:val="24"/>
        </w:rPr>
        <w:t xml:space="preserve">Built-in access control and code execution</w:t>
      </w:r>
    </w:p>
    <w:p>
      <w:pPr>
        <w:spacing w:after="200" w:line="300"/>
        <w:jc w:val="both"/>
      </w:pPr>
      <w:r>
        <w:rPr>
          <w:sz w:val="23"/>
          <w:szCs w:val="23"/>
        </w:rPr>
        <w:t xml:space="preserve">A supervisor has built-in access controls, so its end users only access the subagents and data they personally have permission to use — if a user lacks access to a subagent entirely, the supervisor redirects the conversation away from it, and if they lack access to every subagent, the supervisor ends the conversation. Every supervisor also includes a code execution tool by default: when a request needs computation, the supervisor runs model-generated Python, SQL, or shell code in a sandboxed serverless session with no internet access and only read-only, permission-scoped access to the Unity Catalog tables and volumes you've added as tools.</w:t>
      </w:r>
    </w:p>
    <w:p>
      <w:pPr>
        <w:pStyle w:val="Heading3"/>
        <w:spacing w:after="120" w:before="240"/>
      </w:pPr>
      <w:r>
        <w:rPr>
          <w:b/>
          <w:bCs/>
          <w:color w:val="2E74B5"/>
          <w:sz w:val="24"/>
          <w:szCs w:val="24"/>
        </w:rPr>
        <w:t xml:space="preserve">Building and improving a supervisor</w:t>
      </w:r>
    </w:p>
    <w:p>
      <w:pPr>
        <w:pStyle w:val="ListParagraph"/>
        <w:numPr>
          <w:ilvl w:val="0"/>
          <w:numId w:val="2"/>
        </w:numPr>
        <w:spacing w:after="140" w:line="288"/>
      </w:pPr>
      <w:r>
        <w:rPr>
          <w:sz w:val="23"/>
          <w:szCs w:val="23"/>
        </w:rPr>
        <w:t xml:space="preserve">Configure the supervisor: add tools and subagents (up to 50), write a clear description for each so the supervisor can route accurately, and set permissions on each subagent.</w:t>
      </w:r>
    </w:p>
    <w:p>
      <w:pPr>
        <w:pStyle w:val="ListParagraph"/>
        <w:numPr>
          <w:ilvl w:val="0"/>
          <w:numId w:val="2"/>
        </w:numPr>
        <w:spacing w:after="140" w:line="288"/>
      </w:pPr>
      <w:r>
        <w:rPr>
          <w:sz w:val="23"/>
          <w:szCs w:val="23"/>
        </w:rPr>
        <w:t xml:space="preserve">Test the supervisor by chatting with it directly or in AI Playground, checking that it delegates tasks to the right subagents.</w:t>
      </w:r>
    </w:p>
    <w:p>
      <w:pPr>
        <w:pStyle w:val="ListParagraph"/>
        <w:numPr>
          <w:ilvl w:val="0"/>
          <w:numId w:val="2"/>
        </w:numPr>
        <w:spacing w:after="140" w:line="288"/>
      </w:pPr>
      <w:r>
        <w:rPr>
          <w:sz w:val="23"/>
          <w:szCs w:val="23"/>
        </w:rPr>
        <w:t xml:space="preserve">Improve the supervisor using natural-language feedback: add example questions and task scenarios, gather guidelines from subject matter experts, and let Supervisor Agent retrain and optimize coordination from that labeled data.</w:t>
      </w:r>
    </w:p>
    <w:p>
      <w:pPr>
        <w:pStyle w:val="ListParagraph"/>
        <w:numPr>
          <w:ilvl w:val="0"/>
          <w:numId w:val="2"/>
        </w:numPr>
        <w:spacing w:after="140" w:line="288"/>
      </w:pPr>
      <w:r>
        <w:rPr>
          <w:sz w:val="23"/>
          <w:szCs w:val="23"/>
        </w:rPr>
        <w:t xml:space="preserve">Manage permissions on the supervisor itself, granting Can Manage or Can Query access to the users or groups who should reach it.</w:t>
      </w:r>
    </w:p>
    <w:p>
      <w:pPr>
        <w:pStyle w:val="ListParagraph"/>
        <w:numPr>
          <w:ilvl w:val="0"/>
          <w:numId w:val="2"/>
        </w:numPr>
        <w:spacing w:after="140" w:line="288"/>
      </w:pPr>
      <w:r>
        <w:rPr>
          <w:sz w:val="23"/>
          <w:szCs w:val="23"/>
        </w:rPr>
        <w:t xml:space="preserve">Query the deployed supervisor endpoint from AI Playground, curl, or the Python API — the same endpoint can back an internal chat tool or a client-facing application.</w:t>
      </w:r>
    </w:p>
    <w:p>
      <w:pPr>
        <w:pStyle w:val="Heading2"/>
        <w:spacing w:after="160" w:before="340"/>
      </w:pPr>
      <w:r>
        <w:rPr>
          <w:b/>
          <w:bCs/>
          <w:color w:val="1F3864"/>
          <w:sz w:val="27"/>
          <w:szCs w:val="27"/>
        </w:rPr>
        <w:t xml:space="preserve">Path 2: A Custom Orchestrator on Databricks Apps</w:t>
      </w:r>
    </w:p>
    <w:p>
      <w:pPr>
        <w:spacing w:after="200" w:line="300"/>
        <w:jc w:val="both"/>
      </w:pPr>
      <w:r>
        <w:rPr>
          <w:sz w:val="23"/>
          <w:szCs w:val="23"/>
        </w:rPr>
        <w:t xml:space="preserve">For teams that need custom routing logic or orchestration behavior beyond what Supervisor Agent supports, Databricks provides a multi-agent orchestrator template for Databricks Apps, built on the OpenAI Agents SDK. Rather than a UI-configured supervisor, this is code you own and can extend: an orchestrator app that treats each subagent as a callable tool and routes requests based on written instructions.</w:t>
      </w:r>
    </w:p>
    <w:p>
      <w:pPr>
        <w:pStyle w:val="Heading3"/>
        <w:spacing w:after="120" w:before="240"/>
      </w:pPr>
      <w:r>
        <w:rPr>
          <w:b/>
          <w:bCs/>
          <w:color w:val="2E74B5"/>
          <w:sz w:val="24"/>
          <w:szCs w:val="24"/>
        </w:rPr>
        <w:t xml:space="preserve">Subagent types in a custom orchestrator</w:t>
      </w:r>
    </w:p>
    <w:p>
      <w:pPr>
        <w:pStyle w:val="ListParagraph"/>
        <w:numPr>
          <w:ilvl w:val="0"/>
          <w:numId w:val="3"/>
        </w:numPr>
        <w:spacing w:after="140" w:line="288"/>
      </w:pPr>
      <w:r>
        <w:rPr>
          <w:b/>
          <w:bCs/>
          <w:color w:val="1F3864"/>
          <w:sz w:val="23"/>
          <w:szCs w:val="23"/>
        </w:rPr>
        <w:t xml:space="preserve">Databricks Apps agents: </w:t>
      </w:r>
      <w:r>
        <w:rPr>
          <w:sz w:val="23"/>
          <w:szCs w:val="23"/>
        </w:rPr>
        <w:t xml:space="preserve">other agents deployed as Databricks Apps, called through the Responses API, requiring OAuth authentication and CAN_USE permission on the target app.</w:t>
      </w:r>
    </w:p>
    <w:p>
      <w:pPr>
        <w:pStyle w:val="ListParagraph"/>
        <w:numPr>
          <w:ilvl w:val="0"/>
          <w:numId w:val="3"/>
        </w:numPr>
        <w:spacing w:after="140" w:line="288"/>
      </w:pPr>
      <w:r>
        <w:rPr>
          <w:b/>
          <w:bCs/>
          <w:color w:val="1F3864"/>
          <w:sz w:val="23"/>
          <w:szCs w:val="23"/>
        </w:rPr>
        <w:t xml:space="preserve">Genie Agents: </w:t>
      </w:r>
      <w:r>
        <w:rPr>
          <w:sz w:val="23"/>
          <w:szCs w:val="23"/>
        </w:rPr>
        <w:t xml:space="preserve">connected through the built-in Databricks MCP server, requiring a Genie Agent ID and CAN_RUN permission.</w:t>
      </w:r>
    </w:p>
    <w:p>
      <w:pPr>
        <w:pStyle w:val="ListParagraph"/>
        <w:numPr>
          <w:ilvl w:val="0"/>
          <w:numId w:val="3"/>
        </w:numPr>
        <w:spacing w:after="140" w:line="288"/>
      </w:pPr>
      <w:r>
        <w:rPr>
          <w:b/>
          <w:bCs/>
          <w:color w:val="1F3864"/>
          <w:sz w:val="23"/>
          <w:szCs w:val="23"/>
        </w:rPr>
        <w:t xml:space="preserve">Serving endpoints: </w:t>
      </w:r>
      <w:r>
        <w:rPr>
          <w:sz w:val="23"/>
          <w:szCs w:val="23"/>
        </w:rPr>
        <w:t xml:space="preserve">knowledge assistants, agents, or models on Model Serving that support the Responses API, requiring the endpoint to have task type Agent (Responses).</w:t>
      </w:r>
    </w:p>
    <w:p>
      <w:pPr>
        <w:spacing w:after="200" w:line="300"/>
        <w:jc w:val="both"/>
      </w:pPr>
      <w:r>
        <w:rPr>
          <w:sz w:val="23"/>
          <w:szCs w:val="23"/>
        </w:rPr>
        <w:t xml:space="preserve">Each subagent is declared with a name, type, and description in the orchestrator's configuration, and description quality directly affects how well the orchestrator routes requests — the more specific the description of what a subagent handles, the more accurate the routing. The orchestrator's own instructions then tell it which tool to use for which kind of question, with a fallback of asking the user for clarification when it's unsure.</w:t>
      </w:r>
    </w:p>
    <w:p>
      <w:pPr>
        <w:pStyle w:val="Heading3"/>
        <w:spacing w:after="120" w:before="240"/>
      </w:pPr>
      <w:r>
        <w:rPr>
          <w:b/>
          <w:bCs/>
          <w:color w:val="2E74B5"/>
          <w:sz w:val="24"/>
          <w:szCs w:val="24"/>
        </w:rPr>
        <w:t xml:space="preserve">Deploying the orchestrator</w:t>
      </w:r>
    </w:p>
    <w:p>
      <w:pPr>
        <w:spacing w:after="200" w:line="300"/>
        <w:jc w:val="both"/>
      </w:pPr>
      <w:r>
        <w:rPr>
          <w:sz w:val="23"/>
          <w:szCs w:val="23"/>
        </w:rPr>
        <w:t xml:space="preserve">The template is deployed like any other Databricks App: resources and permissions for each subagent (including the Genie Agent's space ID and required permission level) are declared in a bundle configuration file, the app is tested locally with a built-in chat UI, and then validated and deployed using Declarative Automation Bundles. If the orchestrator calls another Databricks App as a subagent, its service principal needs CAN_USE permission granted on that target app after deployment, since that particular permission can't be declared as a bundle resource.</w:t>
      </w:r>
    </w:p>
    <w:p>
      <w:pPr>
        <w:pStyle w:val="Heading2"/>
        <w:spacing w:after="160" w:before="340"/>
      </w:pPr>
      <w:r>
        <w:rPr>
          <w:b/>
          <w:bCs/>
          <w:color w:val="1F3864"/>
          <w:sz w:val="27"/>
          <w:szCs w:val="27"/>
        </w:rPr>
        <w:t xml:space="preserve">Bringing Genie In Directly: The Genie Agents API</w:t>
      </w:r>
    </w:p>
    <w:p>
      <w:pPr>
        <w:spacing w:after="200" w:line="300"/>
        <w:jc w:val="both"/>
      </w:pPr>
      <w:r>
        <w:rPr>
          <w:sz w:val="23"/>
          <w:szCs w:val="23"/>
        </w:rPr>
        <w:t xml:space="preserve">Both orchestration paths above can call Genie Agents as one of several subagents. But you can also integrate Genie directly into your own chatbot, agent, or application using the Genie Agents API, without going through a supervisor at all — useful when Genie itself is the main capability you're exposing, wrapped in your own internal copilot or client-facing UI. The API offers Chat mode APIs for stateful, multi-turn natural-language querying with follow-up questions and history, Agent mode APIs for streaming reasoning and SQL results and receiving final reports with citations, and Management APIs for programmatically creating, configuring, and deploying Genie Agents across workspaces as part of CI/CD.</w:t>
      </w:r>
    </w:p>
    <w:p>
      <w:pPr>
        <w:spacing w:after="200" w:line="300"/>
        <w:jc w:val="both"/>
      </w:pPr>
      <w:r>
        <w:rPr>
          <w:sz w:val="23"/>
          <w:szCs w:val="23"/>
        </w:rPr>
        <w:t xml:space="preserve">Before wiring the API into an application, Databricks recommends the underlying Genie Agent already be well-structured: using well-annotated Unity Catalog data, tested by asking the questions end users are expected to ask, enriched with company-specific instructions, example SQL, and functions (aiming for at least five tested example queries), and validated with at least five benchmark questions. An incomplete or untested agent can still return incorrect results even with a technically correct API integration.</w:t>
      </w:r>
    </w:p>
    <w:p>
      <w:pPr>
        <w:pStyle w:val="Heading3"/>
        <w:spacing w:after="120" w:before="240"/>
      </w:pPr>
      <w:r>
        <w:rPr>
          <w:b/>
          <w:bCs/>
          <w:color w:val="2E74B5"/>
          <w:sz w:val="24"/>
          <w:szCs w:val="24"/>
        </w:rPr>
        <w:t xml:space="preserve">Operational best practices for the API</w:t>
      </w:r>
    </w:p>
    <w:p>
      <w:pPr>
        <w:pStyle w:val="ListParagraph"/>
        <w:numPr>
          <w:ilvl w:val="0"/>
          <w:numId w:val="3"/>
        </w:numPr>
        <w:spacing w:after="140" w:line="288"/>
      </w:pPr>
      <w:r>
        <w:rPr>
          <w:b/>
          <w:bCs/>
          <w:color w:val="1F3864"/>
          <w:sz w:val="23"/>
          <w:szCs w:val="23"/>
        </w:rPr>
        <w:t xml:space="preserve">Implement retry logic with exponential backoff, </w:t>
      </w:r>
      <w:r>
        <w:rPr>
          <w:sz w:val="23"/>
          <w:szCs w:val="23"/>
        </w:rPr>
        <w:t xml:space="preserve">since the API does not retry failed requests on your behalf.</w:t>
      </w:r>
    </w:p>
    <w:p>
      <w:pPr>
        <w:pStyle w:val="ListParagraph"/>
        <w:numPr>
          <w:ilvl w:val="0"/>
          <w:numId w:val="3"/>
        </w:numPr>
        <w:spacing w:after="140" w:line="288"/>
      </w:pPr>
      <w:r>
        <w:rPr>
          <w:b/>
          <w:bCs/>
          <w:color w:val="1F3864"/>
          <w:sz w:val="23"/>
          <w:szCs w:val="23"/>
        </w:rPr>
        <w:t xml:space="preserve">Log API requests and responses </w:t>
      </w:r>
      <w:r>
        <w:rPr>
          <w:sz w:val="23"/>
          <w:szCs w:val="23"/>
        </w:rPr>
        <w:t xml:space="preserve">comprehensively to support debugging, usage monitoring, and cost tracking.</w:t>
      </w:r>
    </w:p>
    <w:p>
      <w:pPr>
        <w:pStyle w:val="ListParagraph"/>
        <w:numPr>
          <w:ilvl w:val="0"/>
          <w:numId w:val="3"/>
        </w:numPr>
        <w:spacing w:after="140" w:line="288"/>
      </w:pPr>
      <w:r>
        <w:rPr>
          <w:b/>
          <w:bCs/>
          <w:color w:val="1F3864"/>
          <w:sz w:val="23"/>
          <w:szCs w:val="23"/>
        </w:rPr>
        <w:t xml:space="preserve">Poll for status every 1 to 5 seconds </w:t>
      </w:r>
      <w:r>
        <w:rPr>
          <w:sz w:val="23"/>
          <w:szCs w:val="23"/>
        </w:rPr>
        <w:t xml:space="preserve">until a conclusive status such as COMPLETED, FAILED, or CANCELLED is returned, capping most polling at 10 minutes before timing out or prompting the user to check back later.</w:t>
      </w:r>
    </w:p>
    <w:p>
      <w:pPr>
        <w:pStyle w:val="ListParagraph"/>
        <w:numPr>
          <w:ilvl w:val="0"/>
          <w:numId w:val="3"/>
        </w:numPr>
        <w:spacing w:after="140" w:line="288"/>
      </w:pPr>
      <w:r>
        <w:rPr>
          <w:b/>
          <w:bCs/>
          <w:color w:val="1F3864"/>
          <w:sz w:val="23"/>
          <w:szCs w:val="23"/>
        </w:rPr>
        <w:t xml:space="preserve">Use exponential backoff for polling itself, </w:t>
      </w:r>
      <w:r>
        <w:rPr>
          <w:sz w:val="23"/>
          <w:szCs w:val="23"/>
        </w:rPr>
        <w:t xml:space="preserve">increasing the delay up to a maximum of one minute to balance responsiveness against unnecessary load.</w:t>
      </w:r>
    </w:p>
    <w:p>
      <w:pPr>
        <w:pStyle w:val="ListParagraph"/>
        <w:numPr>
          <w:ilvl w:val="0"/>
          <w:numId w:val="3"/>
        </w:numPr>
        <w:spacing w:after="140" w:line="288"/>
      </w:pPr>
      <w:r>
        <w:rPr>
          <w:b/>
          <w:bCs/>
          <w:color w:val="1F3864"/>
          <w:sz w:val="23"/>
          <w:szCs w:val="23"/>
        </w:rPr>
        <w:t xml:space="preserve">Start a new conversation for each session </w:t>
      </w:r>
      <w:r>
        <w:rPr>
          <w:sz w:val="23"/>
          <w:szCs w:val="23"/>
        </w:rPr>
        <w:t xml:space="preserve">rather than reusing threads across sessions, since reused context can reduce accuracy.</w:t>
      </w:r>
    </w:p>
    <w:p>
      <w:pPr>
        <w:pStyle w:val="ListParagraph"/>
        <w:numPr>
          <w:ilvl w:val="0"/>
          <w:numId w:val="3"/>
        </w:numPr>
        <w:spacing w:after="140" w:line="288"/>
      </w:pPr>
      <w:r>
        <w:rPr>
          <w:b/>
          <w:bCs/>
          <w:color w:val="1F3864"/>
          <w:sz w:val="23"/>
          <w:szCs w:val="23"/>
        </w:rPr>
        <w:t xml:space="preserve">Manage the 10,000-conversation limit </w:t>
      </w:r>
      <w:r>
        <w:rPr>
          <w:sz w:val="23"/>
          <w:szCs w:val="23"/>
        </w:rPr>
        <w:t xml:space="preserve">by periodically listing conversations for the agent and deleting old or test conversations you no longer need.</w:t>
      </w:r>
    </w:p>
    <w:p>
      <w:pPr>
        <w:pStyle w:val="Heading2"/>
        <w:spacing w:after="160" w:before="340"/>
      </w:pPr>
      <w:r>
        <w:rPr>
          <w:b/>
          <w:bCs/>
          <w:color w:val="1F3864"/>
          <w:sz w:val="27"/>
          <w:szCs w:val="27"/>
        </w:rPr>
        <w:t xml:space="preserve">Internal Copilots vs. Client-Facing Assistants: What Changes</w:t>
      </w:r>
    </w:p>
    <w:p>
      <w:pPr>
        <w:spacing w:after="200" w:line="300"/>
        <w:jc w:val="both"/>
      </w:pPr>
      <w:r>
        <w:rPr>
          <w:sz w:val="23"/>
          <w:szCs w:val="23"/>
        </w:rPr>
        <w:t xml:space="preserve">The same building blocks — Supervisor Agent, a custom orchestrator, or the Genie API directly — can power either an internal copilot or a client-facing assistant, but a few things shift depending on the audience.</w:t>
      </w:r>
    </w:p>
    <w:p>
      <w:pPr>
        <w:pStyle w:val="ListParagraph"/>
        <w:numPr>
          <w:ilvl w:val="0"/>
          <w:numId w:val="3"/>
        </w:numPr>
        <w:spacing w:after="140" w:line="288"/>
      </w:pPr>
      <w:r>
        <w:rPr>
          <w:b/>
          <w:bCs/>
          <w:color w:val="1F3864"/>
          <w:sz w:val="23"/>
          <w:szCs w:val="23"/>
        </w:rPr>
        <w:t xml:space="preserve">Authentication: </w:t>
      </w:r>
      <w:r>
        <w:rPr>
          <w:sz w:val="23"/>
          <w:szCs w:val="23"/>
        </w:rPr>
        <w:t xml:space="preserve">for production use where a real user with a browser is present (typical of an internal copilot used by employees), OAuth for users (OAuth U2M) is the recommended path. Where browser-based authentication isn't possible — common in automated or client-facing integrations — a service principal authenticated through OAuth for service principals (OAuth M2M) is used instead.</w:t>
      </w:r>
    </w:p>
    <w:p>
      <w:pPr>
        <w:pStyle w:val="ListParagraph"/>
        <w:numPr>
          <w:ilvl w:val="0"/>
          <w:numId w:val="3"/>
        </w:numPr>
        <w:spacing w:after="140" w:line="288"/>
      </w:pPr>
      <w:r>
        <w:rPr>
          <w:b/>
          <w:bCs/>
          <w:color w:val="1F3864"/>
          <w:sz w:val="23"/>
          <w:szCs w:val="23"/>
        </w:rPr>
        <w:t xml:space="preserve">Access control expectations: </w:t>
      </w:r>
      <w:r>
        <w:rPr>
          <w:sz w:val="23"/>
          <w:szCs w:val="23"/>
        </w:rPr>
        <w:t xml:space="preserve">a supervisor's built-in access control means an internal copilot naturally respects each employee's existing Unity Catalog permissions. A client-facing assistant typically needs a more deliberate design decision about what data and which subagents external users should ever be able to reach, since the orchestrator will otherwise expose whatever the authenticating identity has access to.</w:t>
      </w:r>
    </w:p>
    <w:p>
      <w:pPr>
        <w:pStyle w:val="ListParagraph"/>
        <w:numPr>
          <w:ilvl w:val="0"/>
          <w:numId w:val="3"/>
        </w:numPr>
        <w:spacing w:after="140" w:line="288"/>
      </w:pPr>
      <w:r>
        <w:rPr>
          <w:b/>
          <w:bCs/>
          <w:color w:val="1F3864"/>
          <w:sz w:val="23"/>
          <w:szCs w:val="23"/>
        </w:rPr>
        <w:t xml:space="preserve">Routing descriptions: </w:t>
      </w:r>
      <w:r>
        <w:rPr>
          <w:sz w:val="23"/>
          <w:szCs w:val="23"/>
        </w:rPr>
        <w:t xml:space="preserve">for a client-facing assistant, subagent descriptions and orchestrator instructions are worth extra care, since a mis-routed question in a customer-facing context is more visible and more costly than in an internal tool.</w:t>
      </w:r>
    </w:p>
    <w:p>
      <w:pPr>
        <w:pStyle w:val="ListParagraph"/>
        <w:numPr>
          <w:ilvl w:val="0"/>
          <w:numId w:val="3"/>
        </w:numPr>
        <w:spacing w:after="140" w:line="288"/>
      </w:pPr>
      <w:r>
        <w:rPr>
          <w:b/>
          <w:bCs/>
          <w:color w:val="1F3864"/>
          <w:sz w:val="23"/>
          <w:szCs w:val="23"/>
        </w:rPr>
        <w:t xml:space="preserve">Monitoring: </w:t>
      </w:r>
      <w:r>
        <w:rPr>
          <w:sz w:val="23"/>
          <w:szCs w:val="23"/>
        </w:rPr>
        <w:t xml:space="preserve">both scenarios benefit from the Monitoring tab and audit logs available for a Genie Agent, but a client-facing assistant typically warrants closer, more continuous review given the larger and less predictable population of end users.</w:t>
      </w:r>
    </w:p>
    <w:p>
      <w:pPr>
        <w:pStyle w:val="Heading2"/>
        <w:spacing w:after="160" w:before="340"/>
      </w:pPr>
      <w:r>
        <w:rPr>
          <w:b/>
          <w:bCs/>
          <w:color w:val="1F3864"/>
          <w:sz w:val="27"/>
          <w:szCs w:val="27"/>
        </w:rPr>
        <w:t xml:space="preserve">Common Pitfalls</w:t>
      </w:r>
    </w:p>
    <w:p>
      <w:pPr>
        <w:pStyle w:val="ListParagraph"/>
        <w:numPr>
          <w:ilvl w:val="0"/>
          <w:numId w:val="3"/>
        </w:numPr>
        <w:spacing w:after="140" w:line="288"/>
      </w:pPr>
      <w:r>
        <w:rPr>
          <w:b/>
          <w:bCs/>
          <w:color w:val="1F3864"/>
          <w:sz w:val="23"/>
          <w:szCs w:val="23"/>
        </w:rPr>
        <w:t xml:space="preserve">Treating one Genie Agent as the whole system. </w:t>
      </w:r>
      <w:r>
        <w:rPr>
          <w:sz w:val="23"/>
          <w:szCs w:val="23"/>
        </w:rPr>
        <w:t xml:space="preserve">A Genie Agent is one specialized subagent, not a general-purpose orchestrator — route cross-domain or unstructured-data questions to other subagents instead of overloading a single Genie Agent's scope.</w:t>
      </w:r>
    </w:p>
    <w:p>
      <w:pPr>
        <w:pStyle w:val="ListParagraph"/>
        <w:numPr>
          <w:ilvl w:val="0"/>
          <w:numId w:val="3"/>
        </w:numPr>
        <w:spacing w:after="140" w:line="288"/>
      </w:pPr>
      <w:r>
        <w:rPr>
          <w:b/>
          <w:bCs/>
          <w:color w:val="1F3864"/>
          <w:sz w:val="23"/>
          <w:szCs w:val="23"/>
        </w:rPr>
        <w:t xml:space="preserve">Writing vague subagent descriptions. </w:t>
      </w:r>
      <w:r>
        <w:rPr>
          <w:sz w:val="23"/>
          <w:szCs w:val="23"/>
        </w:rPr>
        <w:t xml:space="preserve">Both Supervisor Agent and the custom orchestrator route based on the descriptions you provide for each subagent — a vague description directly degrades routing accuracy.</w:t>
      </w:r>
    </w:p>
    <w:p>
      <w:pPr>
        <w:pStyle w:val="ListParagraph"/>
        <w:numPr>
          <w:ilvl w:val="0"/>
          <w:numId w:val="3"/>
        </w:numPr>
        <w:spacing w:after="140" w:line="288"/>
      </w:pPr>
      <w:r>
        <w:rPr>
          <w:b/>
          <w:bCs/>
          <w:color w:val="1F3864"/>
          <w:sz w:val="23"/>
          <w:szCs w:val="23"/>
        </w:rPr>
        <w:t xml:space="preserve">Skipping permission checks per subagent. </w:t>
      </w:r>
      <w:r>
        <w:rPr>
          <w:sz w:val="23"/>
          <w:szCs w:val="23"/>
        </w:rPr>
        <w:t xml:space="preserve">Each subagent type has its own required end-user permission (for example, CAN_RUN on a Genie Agent, CAN QUERY on a serving endpoint) — without explicit access, a supervisor will redirect away from or entirely skip that subagent, which can look like a bug when it's actually a permissions gap.</w:t>
      </w:r>
    </w:p>
    <w:p>
      <w:pPr>
        <w:pStyle w:val="ListParagraph"/>
        <w:numPr>
          <w:ilvl w:val="0"/>
          <w:numId w:val="3"/>
        </w:numPr>
        <w:spacing w:after="140" w:line="288"/>
      </w:pPr>
      <w:r>
        <w:rPr>
          <w:b/>
          <w:bCs/>
          <w:color w:val="1F3864"/>
          <w:sz w:val="23"/>
          <w:szCs w:val="23"/>
        </w:rPr>
        <w:t xml:space="preserve">Reusing conversation threads across sessions. </w:t>
      </w:r>
      <w:r>
        <w:rPr>
          <w:sz w:val="23"/>
          <w:szCs w:val="23"/>
        </w:rPr>
        <w:t xml:space="preserve">This is called out directly in Databricks' Genie API guidance because it can reduce accuracy through unintended context carryover — start a fresh conversation per session.</w:t>
      </w:r>
    </w:p>
    <w:p>
      <w:pPr>
        <w:pStyle w:val="ListParagraph"/>
        <w:numPr>
          <w:ilvl w:val="0"/>
          <w:numId w:val="3"/>
        </w:numPr>
        <w:spacing w:after="140" w:line="288"/>
      </w:pPr>
      <w:r>
        <w:rPr>
          <w:b/>
          <w:bCs/>
          <w:color w:val="1F3864"/>
          <w:sz w:val="23"/>
          <w:szCs w:val="23"/>
        </w:rPr>
        <w:t xml:space="preserve">Ignoring the 50-subagent limit on Supervisor Agent. </w:t>
      </w:r>
      <w:r>
        <w:rPr>
          <w:sz w:val="23"/>
          <w:szCs w:val="23"/>
        </w:rPr>
        <w:t xml:space="preserve">Large systems should group related capabilities into fewer, well-scoped subagents rather than approaching the ceiling with many narrow ones.</w:t>
      </w:r>
    </w:p>
    <w:p>
      <w:pPr>
        <w:pStyle w:val="ListParagraph"/>
        <w:numPr>
          <w:ilvl w:val="0"/>
          <w:numId w:val="3"/>
        </w:numPr>
        <w:spacing w:after="140" w:line="288"/>
      </w:pPr>
      <w:r>
        <w:rPr>
          <w:b/>
          <w:bCs/>
          <w:color w:val="1F3864"/>
          <w:sz w:val="23"/>
          <w:szCs w:val="23"/>
        </w:rPr>
        <w:t xml:space="preserve">Assuming code execution has data access it doesn't. </w:t>
      </w:r>
      <w:r>
        <w:rPr>
          <w:sz w:val="23"/>
          <w:szCs w:val="23"/>
        </w:rPr>
        <w:t xml:space="preserve">The supervisor's sandboxed code execution tool has no internet access and only read-only access to Unity Catalog tables and volumes you've explicitly added as tools — it can't reach arbitrary data or external endpoints.</w:t>
      </w:r>
    </w:p>
    <w:p>
      <w:pPr>
        <w:pStyle w:val="ListParagraph"/>
        <w:numPr>
          <w:ilvl w:val="0"/>
          <w:numId w:val="3"/>
        </w:numPr>
        <w:spacing w:after="140" w:line="288"/>
      </w:pPr>
      <w:r>
        <w:rPr>
          <w:b/>
          <w:bCs/>
          <w:color w:val="1F3864"/>
          <w:sz w:val="23"/>
          <w:szCs w:val="23"/>
        </w:rPr>
        <w:t xml:space="preserve">Deploying a client-facing assistant with internal-copilot assumptions. </w:t>
      </w:r>
      <w:r>
        <w:rPr>
          <w:sz w:val="23"/>
          <w:szCs w:val="23"/>
        </w:rPr>
        <w:t xml:space="preserve">Authentication method, exposed data scope, and monitoring cadence all warrant reassessment when the same orchestration pattern moves from an internal tool to a client-facing one.</w:t>
      </w:r>
    </w:p>
    <w:p>
      <w:pPr>
        <w:pStyle w:val="Heading2"/>
        <w:spacing w:after="160" w:before="340"/>
      </w:pPr>
      <w:r>
        <w:rPr>
          <w:b/>
          <w:bCs/>
          <w:color w:val="1F3864"/>
          <w:sz w:val="27"/>
          <w:szCs w:val="27"/>
        </w:rPr>
        <w:t xml:space="preserve">Conclusion</w:t>
      </w:r>
    </w:p>
    <w:p>
      <w:pPr>
        <w:spacing w:after="200" w:line="300"/>
        <w:jc w:val="both"/>
      </w:pPr>
      <w:r>
        <w:rPr>
          <w:sz w:val="23"/>
          <w:szCs w:val="23"/>
        </w:rPr>
        <w:t xml:space="preserve">Multi-agent Genie workflows exist because a single, well-scoped Genie Agent and a single, well-scoped orchestrator solve different problems. The Genie Agent's job is to turn natural language into correct, governed SQL over one domain; the orchestrator's job — whether that's Supervisor Agent or a custom Databricks Apps orchestrator — is to route a broader range of questions to the right specialist, Genie or otherwise, and stitch the results into one coherent answer. Getting internal copilots and client-facing assistants right comes down to the same fundamentals as a single Genie Agent — clear descriptions, tested behavior, and careful permissioning — applied one layer higher, across the whole system rather than one agent.</w:t>
      </w:r>
    </w:p>
    <w:p>
      <w:pPr>
        <w:pBdr>
          <w:top w:val="single" w:color="BFBFBF" w:sz="4" w:space="8"/>
        </w:pBdr>
        <w:spacing w:before="200"/>
      </w:pPr>
      <w:r>
        <w:rPr>
          <w:b/>
          <w:bCs/>
          <w:i/>
          <w:iCs/>
          <w:color w:val="595959"/>
          <w:sz w:val="18"/>
          <w:szCs w:val="18"/>
        </w:rPr>
        <w:t xml:space="preserve">Sources: </w:t>
      </w:r>
      <w:r>
        <w:rPr>
          <w:i/>
          <w:iCs/>
          <w:color w:val="595959"/>
          <w:sz w:val="18"/>
          <w:szCs w:val="18"/>
        </w:rPr>
        <w:t xml:space="preserve">Databricks documentation — docs.databricks.com/aws/en/agents/agent-bricks/multi-agent-supervisor, /genie-agents/conversation-api, and learn.microsoft.com/en-us/azure/databricks/agents/custom-agents/multi-agent-apps — current as of August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Multi-Agent Genie Workflows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abstractNum w:abstractNumId="4"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2026-08-28T10:24:59.163Z</dcterms:created>
  <dcterms:modified xsi:type="dcterms:W3CDTF">2026-08-28T10:24:59.174Z</dcterms:modified>
</cp:coreProperties>
</file>

<file path=docProps/custom.xml><?xml version="1.0" encoding="utf-8"?>
<Properties xmlns="http://schemas.openxmlformats.org/officeDocument/2006/custom-properties" xmlns:vt="http://schemas.openxmlformats.org/officeDocument/2006/docPropsVTypes"/>
</file>