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6. Выявление целей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 xml:space="preserve">Структурированное целевое месиво в виде дерева целей см. после таблицы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(каждая истинная цель в дереве целей обозначена своим порядковым номером (см. столбец «№»)).</w:t>
      </w:r>
    </w:p>
    <w:tbl>
      <w:tblPr>
        <w:tblStyle w:val="a3"/>
        <w:tblW w:w="8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5"/>
        <w:gridCol w:w="3153"/>
        <w:gridCol w:w="2134"/>
        <w:gridCol w:w="2531"/>
      </w:tblGrid>
      <w:tr>
        <w:trPr/>
        <w:tc>
          <w:tcPr>
            <w:tcW w:w="565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№</w:t>
            </w:r>
          </w:p>
        </w:tc>
        <w:tc>
          <w:tcPr>
            <w:tcW w:w="3153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Наименование стейкхолдера</w:t>
            </w:r>
          </w:p>
        </w:tc>
        <w:tc>
          <w:tcPr>
            <w:tcW w:w="2134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 xml:space="preserve">Заявленная цель, </w:t>
              <w:br/>
              <w:t>(выявлены по принципу «цель = ликвидировать проблему»)</w:t>
            </w:r>
          </w:p>
        </w:tc>
        <w:tc>
          <w:tcPr>
            <w:tcW w:w="2531" w:type="dxa"/>
            <w:tcBorders/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Истинная цель;</w:t>
              <w:br/>
              <w:t>(метод выявления);</w:t>
              <w:br/>
              <w:t>причина расхождения.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Руководство в лице учредителя Института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биоинформатики и его директора Вяххи Николая Ивановича, а также генерального директора Яворской Марии Васильевны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Минимизировать, а в будущем и устранить полностью денежные потери из-за неудач младшего научного состава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Сохранить и приумножить капитал (партнёрские инвестиции) и обеспечить финансовую стабильность Института.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Заявленная цель — лишь средство достижения истинной. Достаточно задать вопрос «а зачем минимизировать денежные потери?»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Решить все проблемы со спонсором(-ами) на почве успешности реализации спонсорских средств и не допускать их появления в будущем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keepNext w:val="true"/>
              <w:keepLines/>
              <w:spacing w:lineRule="auto" w:line="240" w:before="0" w:after="0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Сохранить лояльность и доверие основного спонсора (BIOCAD), обеспечивая непрерывность финансирования.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Аналогично п. 1.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Минимизировать репутационные потери и среди научного сообщества, и в глазах СМИ и не допускать их в будущем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Сохранить и усилить статус, влияние и «лицо» Института и его руководства в научном и медийном (научно-популярном) пространствах.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Аналогично п. 1.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Директор по науке Юрий Барбитов и научный консультант Александр Предеус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Из-за неудач Бибы и Бобы, которые несут за собой и финансовые, и репутационные потери, этим двоим (которые делят между собой роли тимлида и техлида всего Института) прилетают «вопросики» от высшего руководства (директоров) о том, а не стоит ли им (руководству) найти этим двоим (Юрию Барбитову и Александру Предеусу) замену, которая будет выполнять свои должностные обязанности и организовывать рабочий процесс лучше, что приведёт к улучшению ситуации для всей организации (помимо этих двоих, конечно, потому что их уволят или, если повезёт, то просто понизят в должности).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Таким образом, заявленная цель — не потерять своё место в организации из-за неудач Бибы и Бобы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Сохранить свои статус и карьерные позиции в Институте; избежать увольнения или понижения.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По существу, заявленные и истинные цели совпадают. Думаю, что это связано с тем, что не они (Барбитов и Предеус) стоят в корне проблемной ситуации и не на них ложится основное бремя её «разгребания» + они меньше завязаны на спонсорских деньгах, т.к. это — обязанность высшего руководства; поэтому они ясно и, можно сказать, по-научному отдают себе отчёт о том, чего они хотят добиться (или что они хотят сохранить) в условиях проблемной ситуации.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Старшие научные сотрудники (более опытные, чем Биба и Боба; стоят в иерархии Института выше них)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Т.к. старшие научные сотрудники — непосредственные руководители и кураторы над их младшими коллегами, то за неудачи этих самых младших коллег (в нашей проблемной ситуации этими неудачными младшими коллегами выступают Биба и Боба) им «прилетает» от начальства, которое стоит ещё выше них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Таким образом, заявленная цель — ликвидировать «прилёты» за ошибки подчинённых от начальства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Обеспечить себе спокойную рабочую обстановку, минимизировать стресс и избежать ответственности за чужие ошибки.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Заявленная цель — реакция стейкхолдера на внешнее раздражение; истинная цель — внутренняя, психологическая. В целом, аналогично п. 1.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Младшие научные сотрудники (на одном уровне с Бибой и Бобой в иерархии Института)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Из-за неудач на профессиональном поприще Бибы и Бобы, которые сами являются МНСами, к другим МНСам также начинают относиться по-другому, более предвзято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Таким образом, заявленная цель — не допустить того, чтобы невиновные МНСы страдали из-за неудач их непосредственных коллег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Восстановить справедливость и защитить собственн</w:t>
            </w: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ые</w:t>
            </w: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 xml:space="preserve"> репутацию и карьерные перспективы внутри Института.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Наверное, моя ошибка в том, что заявленную цель я сформулировал не от лица самих МНСов, а от третьего лица. Если понять это, то становится очевидным, что заявленные и истинные цели, в целом, совпадают.</w:t>
            </w:r>
          </w:p>
        </w:tc>
      </w:tr>
      <w:tr>
        <w:trPr/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iCs/>
                <w:sz w:val="18"/>
                <w:szCs w:val="22"/>
              </w:rPr>
            </w:pPr>
            <w:r>
              <w:rPr>
                <w:rFonts w:cs="Times New Roman" w:ascii="Times New Roman" w:hAnsi="Times New Roman"/>
                <w:i/>
                <w:iCs/>
                <w:sz w:val="18"/>
                <w:szCs w:val="22"/>
              </w:rPr>
              <w:t>Биба и Боба</w:t>
            </w:r>
          </w:p>
        </w:tc>
        <w:tc>
          <w:tcPr>
            <w:tcW w:w="2134" w:type="dxa"/>
            <w:tcBorders/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Решить сильнейшие проблемы в коммуникации между собой</w:t>
            </w:r>
          </w:p>
        </w:tc>
        <w:tc>
          <w:tcPr>
            <w:tcW w:w="253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Снять с себя личную ответственность за провалы, переложив часть вины на «общую проблему коммуникации».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>Произошла типичная подмена целей. Чем-то похожа на пример из учебника (с. 129) с врачом, который «операцию провёл блестяще, но пациент умер». Подмена целей вызвана тем, что данные стейкхолдеры — те, кого принято винить во всех происходящих проблемах =&gt; происходит защитная реакция с их (данных стейкхолдеров) стороны, которая и выражается в подмене целей.</w:t>
            </w:r>
          </w:p>
        </w:tc>
      </w:tr>
      <w:tr>
        <w:trPr/>
        <w:tc>
          <w:tcPr>
            <w:tcW w:w="56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</w:t>
            </w:r>
          </w:p>
        </w:tc>
        <w:tc>
          <w:tcPr>
            <w:tcW w:w="3153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iCs/>
                <w:sz w:val="18"/>
                <w:szCs w:val="22"/>
              </w:rPr>
            </w:pPr>
            <w:r>
              <w:rPr>
                <w:rFonts w:cs="Times New Roman" w:ascii="Times New Roman" w:hAnsi="Times New Roman"/>
                <w:i/>
                <w:iCs/>
                <w:sz w:val="18"/>
                <w:szCs w:val="22"/>
              </w:rPr>
              <w:t>Биба и Боба</w:t>
            </w:r>
          </w:p>
        </w:tc>
        <w:tc>
          <w:tcPr>
            <w:tcW w:w="2134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Ликвидировать проведение многочисленных анализов «впустую»</w:t>
            </w:r>
          </w:p>
        </w:tc>
        <w:tc>
          <w:tcPr>
            <w:tcW w:w="25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</w:rPr>
              <w:t>Прекратить проведение анализов, которые рискуют оказаться бесполезными, чтобы исключить негативную реакцию окружения.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/>
                <w:i/>
                <w:iCs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/>
                <w:iCs/>
              </w:rPr>
              <w:t>Аналогично п. 7. Т.е. заявленная цель — констатация непродуктивной деятельности, а истинная — желание избежать наказания. Спросить «а зачем ликвидировать проведение бесполезных анализов?» в данном случае не поможет, т.к. на это поступит ответ «чтобы минимизировать потери ресурсов Института», что совпадает с п. 1, т.е. одна подмена целей переходит в другую подмену целей. Для выявления истинных целей нужно или глубже углубиться в психологию обвиняемых стейкхолдеров, или выйти с ними на более личный и приватный разговор.</w:t>
            </w:r>
          </w:p>
        </w:tc>
      </w:tr>
      <w:tr>
        <w:trPr/>
        <w:tc>
          <w:tcPr>
            <w:tcW w:w="56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9</w:t>
            </w:r>
          </w:p>
        </w:tc>
        <w:tc>
          <w:tcPr>
            <w:tcW w:w="3153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Компания BIOCAD (основной спонсор)</w:t>
            </w:r>
          </w:p>
        </w:tc>
        <w:tc>
          <w:tcPr>
            <w:tcW w:w="2134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Прекратить регулярные потери спонсорских средств и необходимость «дофинансировать» организацию, т.е. возмещать ей её же убытки, чтобы она всё же достигла желаемых всеми целей</w:t>
            </w:r>
          </w:p>
        </w:tc>
        <w:tc>
          <w:tcPr>
            <w:tcW w:w="25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Обеспечить возврат на инвестиции (ROI); получить конкретные, полезные результаты (исследования, патенты, публикации), которые укрепят позиции BIOCAD на рынке.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Аналогично п. 1. Ещё одна причина — спонсоры начинают хуже относиться к спонсируемым организациям в случае регулярных неудач у последних, поэтому заявленная цель звучит как обвинение, хотя истинная цель заключается в собственном благополучии.</w:t>
            </w:r>
          </w:p>
        </w:tc>
      </w:tr>
      <w:tr>
        <w:trPr/>
        <w:tc>
          <w:tcPr>
            <w:tcW w:w="56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10</w:t>
            </w:r>
          </w:p>
        </w:tc>
        <w:tc>
          <w:tcPr>
            <w:tcW w:w="3153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34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Не завоевать репутацию компании, спонсорская программа которой глупа и нерасчёлива</w:t>
            </w:r>
          </w:p>
        </w:tc>
        <w:tc>
          <w:tcPr>
            <w:tcW w:w="25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Поддерживать и усиливать репутацию BIOCAD как умного, стратегически мыслящего и надежного инвестора в науку.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Заявленная цель — «избегание негатива», истинная — «достижение позитива». Аналогично п. 1. Истинная цель выявляется одним или несколькими вопросами «а зачем?»</w:t>
            </w:r>
          </w:p>
        </w:tc>
      </w:tr>
      <w:tr>
        <w:trPr/>
        <w:tc>
          <w:tcPr>
            <w:tcW w:w="56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11</w:t>
            </w:r>
          </w:p>
        </w:tc>
        <w:tc>
          <w:tcPr>
            <w:tcW w:w="3153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Студенты Института</w:t>
            </w:r>
          </w:p>
        </w:tc>
        <w:tc>
          <w:tcPr>
            <w:tcW w:w="2134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Прекратить допускать плохое отношение со стороны преподавателей, которые становятся злыми и нервными из-за всей этой ситуации с Бибой и Бобой, их неудачами и последствиями этих неудач</w:t>
            </w:r>
          </w:p>
        </w:tc>
        <w:tc>
          <w:tcPr>
            <w:tcW w:w="25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Обеспечить себе психологически комфортную и благоприятную среду для обучения.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Заявленная цель — средство достижения истинной. Аналогично п. 1.</w:t>
            </w:r>
          </w:p>
        </w:tc>
      </w:tr>
      <w:tr>
        <w:trPr/>
        <w:tc>
          <w:tcPr>
            <w:tcW w:w="56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3153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34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Неуверенность в том, стоит ли учиться (а затем — и идти работать) в такой организации, где работают такие неквалифицированные сотрудники, как Биба и Боба</w:t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Таким образом, заявленная цель — увеличить свою уверенность в том, что они выбрали в качестве обучения и будущего места работы хорошую организацию</w:t>
            </w:r>
          </w:p>
        </w:tc>
        <w:tc>
          <w:tcPr>
            <w:tcW w:w="25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Принять верное карьерное решение; обеспечить себе успешное профессиональное будущее и избежать ошибки выбора.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«Зачем увеличивать уверенность?» — «Чтобы знать, что мои время и усилия вложены правильно, и моё будущее надёжно»</w:t>
            </w:r>
          </w:p>
        </w:tc>
      </w:tr>
      <w:tr>
        <w:trPr/>
        <w:tc>
          <w:tcPr>
            <w:tcW w:w="56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13</w:t>
            </w:r>
          </w:p>
        </w:tc>
        <w:tc>
          <w:tcPr>
            <w:tcW w:w="3153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Научное биоинформатическое сообщество России</w:t>
            </w:r>
          </w:p>
        </w:tc>
        <w:tc>
          <w:tcPr>
            <w:tcW w:w="2134" w:type="dxa"/>
            <w:tcBorders>
              <w:top w:val="nil"/>
            </w:tcBorders>
            <w:vAlign w:val="center"/>
          </w:tcPr>
          <w:p>
            <w:pPr>
              <w:pStyle w:val="Normal"/>
              <w:keepNext w:val="true"/>
              <w:keepLines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Сохранить/восстановить положительное мнение об Институте биоинформатики — организации, к которой и к научным работам которой раньше было особое доверие</w:t>
            </w:r>
          </w:p>
        </w:tc>
        <w:tc>
          <w:tcPr>
            <w:tcW w:w="253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</w:rPr>
              <w:t>Сохранить стабильность и надежность элемента своей экосистемы; иметь "проверенного" партнера и источник качественных исследований, на которые можно опереться.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 w:val="false"/>
                <w:bCs w:val="false"/>
                <w:i/>
                <w:iCs/>
              </w:rPr>
              <w:t>Аналогично п. 1.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809db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809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Application>LibreOffice/24.2.7.2$Linux_X86_64 LibreOffice_project/420$Build-2</Application>
  <AppVersion>15.0000</AppVersion>
  <Pages>5</Pages>
  <Words>1011</Words>
  <Characters>6431</Characters>
  <CharactersWithSpaces>7390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2022-11-15T10:39:00Z</dcterms:created>
  <dc:creator>Ярослав Николаевич Лопухин</dc:creator>
  <dc:description/>
  <dc:language>en-US</dc:language>
  <cp:lastModifiedBy>Danila Axyonov</cp:lastModifiedBy>
  <dcterms:modified xsi:type="dcterms:W3CDTF">2025-11-03T23:24:29Z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