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4F46E5"/>
          <w:sz w:val="22"/>
        </w:rPr>
        <w:t>WITHUS TECHNICAL REPORT</w:t>
        <w:br/>
      </w:r>
      <w:r>
        <w:rPr>
          <w:b/>
          <w:color w:val="0F172A"/>
          <w:sz w:val="44"/>
        </w:rPr>
        <w:t>OTP Extraction Architecture &amp; Platform Support Matrix</w:t>
      </w:r>
    </w:p>
    <w:p>
      <w:pPr>
        <w:spacing w:after="280"/>
      </w:pPr>
      <w:r>
        <w:rPr>
          <w:i/>
          <w:color w:val="64748B"/>
          <w:sz w:val="24"/>
        </w:rPr>
        <w:t>Technical detail, explained in plain language</w:t>
      </w:r>
    </w:p>
    <w:tbl>
      <w:tblPr>
        <w:tblW w:type="auto" w:w="0"/>
        <w:jc w:val="center"/>
        <w:tblLook w:firstColumn="1" w:firstRow="1" w:lastColumn="0" w:lastRow="0" w:noHBand="0" w:noVBand="1" w:val="04A0"/>
      </w:tblPr>
      <w:tblGrid>
        <w:gridCol w:w="4896"/>
        <w:gridCol w:w="4896"/>
      </w:tblGrid>
      <w:tr>
        <w:tc>
          <w:tcPr>
            <w:tcW w:type="dxa" w:w="3168"/>
            <w:shd w:fill="F1F5F9"/>
            <w:tcMar>
              <w:top w:w="100" w:type="dxa"/>
              <w:bottom w:w="100" w:type="dxa"/>
              <w:left w:w="140" w:type="dxa"/>
              <w:right w:w="140" w:type="dxa"/>
            </w:tcMar>
          </w:tcPr>
          <w:p>
            <w:pPr>
              <w:spacing w:after="0"/>
            </w:pPr>
            <w:r>
              <w:rPr>
                <w:b/>
                <w:color w:val="1E293B"/>
                <w:sz w:val="19"/>
              </w:rPr>
              <w:t>Audience</w:t>
            </w:r>
          </w:p>
        </w:tc>
        <w:tc>
          <w:tcPr>
            <w:tcW w:type="dxa" w:w="6480"/>
            <w:shd w:fill="F8FAFC"/>
            <w:tcMar>
              <w:top w:w="100" w:type="dxa"/>
              <w:bottom w:w="100" w:type="dxa"/>
              <w:left w:w="140" w:type="dxa"/>
              <w:right w:w="140" w:type="dxa"/>
            </w:tcMar>
          </w:tcPr>
          <w:p>
            <w:pPr>
              <w:spacing w:after="0"/>
            </w:pPr>
            <w:r>
              <w:rPr>
                <w:color w:val="334155"/>
                <w:sz w:val="19"/>
              </w:rPr>
              <w:t>Client Technical Steering &amp; Project Leadership</w:t>
            </w:r>
          </w:p>
        </w:tc>
      </w:tr>
      <w:tr>
        <w:tc>
          <w:tcPr>
            <w:tcW w:type="dxa" w:w="3168"/>
            <w:shd w:fill="F1F5F9"/>
            <w:tcMar>
              <w:top w:w="100" w:type="dxa"/>
              <w:bottom w:w="100" w:type="dxa"/>
              <w:left w:w="140" w:type="dxa"/>
              <w:right w:w="140" w:type="dxa"/>
            </w:tcMar>
          </w:tcPr>
          <w:p>
            <w:pPr>
              <w:spacing w:after="0"/>
            </w:pPr>
            <w:r>
              <w:rPr>
                <w:b/>
                <w:color w:val="1E293B"/>
                <w:sz w:val="19"/>
              </w:rPr>
              <w:t>Classification</w:t>
            </w:r>
          </w:p>
        </w:tc>
        <w:tc>
          <w:tcPr>
            <w:tcW w:type="dxa" w:w="6480"/>
            <w:shd w:fill="F8FAFC"/>
            <w:tcMar>
              <w:top w:w="100" w:type="dxa"/>
              <w:bottom w:w="100" w:type="dxa"/>
              <w:left w:w="140" w:type="dxa"/>
              <w:right w:w="140" w:type="dxa"/>
            </w:tcMar>
          </w:tcPr>
          <w:p>
            <w:pPr>
              <w:spacing w:after="0"/>
            </w:pPr>
            <w:r>
              <w:rPr>
                <w:color w:val="334155"/>
                <w:sz w:val="19"/>
              </w:rPr>
              <w:t>Technical Architecture &amp; Ground-Truth Verification</w:t>
            </w:r>
          </w:p>
        </w:tc>
      </w:tr>
      <w:tr>
        <w:tc>
          <w:tcPr>
            <w:tcW w:type="dxa" w:w="3168"/>
            <w:shd w:fill="F1F5F9"/>
            <w:tcMar>
              <w:top w:w="100" w:type="dxa"/>
              <w:bottom w:w="100" w:type="dxa"/>
              <w:left w:w="140" w:type="dxa"/>
              <w:right w:w="140" w:type="dxa"/>
            </w:tcMar>
          </w:tcPr>
          <w:p>
            <w:pPr>
              <w:spacing w:after="0"/>
            </w:pPr>
            <w:r>
              <w:rPr>
                <w:b/>
                <w:color w:val="1E293B"/>
                <w:sz w:val="19"/>
              </w:rPr>
              <w:t>Repository Reference</w:t>
            </w:r>
          </w:p>
        </w:tc>
        <w:tc>
          <w:tcPr>
            <w:tcW w:type="dxa" w:w="6480"/>
            <w:shd w:fill="F8FAFC"/>
            <w:tcMar>
              <w:top w:w="100" w:type="dxa"/>
              <w:bottom w:w="100" w:type="dxa"/>
              <w:left w:w="140" w:type="dxa"/>
              <w:right w:w="140" w:type="dxa"/>
            </w:tcMar>
          </w:tcPr>
          <w:p>
            <w:pPr>
              <w:spacing w:after="0"/>
            </w:pPr>
            <w:r>
              <w:rPr>
                <w:color w:val="334155"/>
                <w:sz w:val="19"/>
              </w:rPr>
              <w:t>SDAP Monorepo — apps/extension, apps/api</w:t>
            </w:r>
          </w:p>
        </w:tc>
      </w:tr>
      <w:tr>
        <w:tc>
          <w:tcPr>
            <w:tcW w:type="dxa" w:w="3168"/>
            <w:shd w:fill="F1F5F9"/>
            <w:tcMar>
              <w:top w:w="100" w:type="dxa"/>
              <w:bottom w:w="100" w:type="dxa"/>
              <w:left w:w="140" w:type="dxa"/>
              <w:right w:w="140" w:type="dxa"/>
            </w:tcMar>
          </w:tcPr>
          <w:p>
            <w:pPr>
              <w:spacing w:after="0"/>
            </w:pPr>
            <w:r>
              <w:rPr>
                <w:b/>
                <w:color w:val="1E293B"/>
                <w:sz w:val="19"/>
              </w:rPr>
              <w:t>Report Date</w:t>
            </w:r>
          </w:p>
        </w:tc>
        <w:tc>
          <w:tcPr>
            <w:tcW w:type="dxa" w:w="6480"/>
            <w:shd w:fill="F8FAFC"/>
            <w:tcMar>
              <w:top w:w="100" w:type="dxa"/>
              <w:bottom w:w="100" w:type="dxa"/>
              <w:left w:w="140" w:type="dxa"/>
              <w:right w:w="140" w:type="dxa"/>
            </w:tcMar>
          </w:tcPr>
          <w:p>
            <w:pPr>
              <w:spacing w:after="0"/>
            </w:pPr>
            <w:r>
              <w:rPr>
                <w:color w:val="334155"/>
                <w:sz w:val="19"/>
              </w:rPr>
              <w:t>October 2026</w:t>
            </w:r>
          </w:p>
        </w:tc>
      </w:tr>
    </w:tbl>
    <w:p>
      <w:pPr>
        <w:spacing w:after="200"/>
      </w:pPr>
    </w:p>
    <w:p>
      <w:pPr>
        <w:keepNext/>
        <w:spacing w:before="320" w:after="120"/>
      </w:pPr>
      <w:r>
        <w:rPr>
          <w:b/>
          <w:color w:val="0F172A"/>
          <w:sz w:val="28"/>
        </w:rPr>
        <w:t>1. Executive Summary</w:t>
      </w:r>
    </w:p>
    <w:p>
      <w:r>
        <w:t>This report explains how WITHUS retrieves and isolates email-based one-time passwords (OTPs), which email providers are currently integrated, and which platforms support end-to-end automated OTP autofill. It distinguishes active end-to-end integrations from backend parsing rules that exist but are not connected to an active browser autofill watcher. The findings below reflect the implementation details described for the SDAP monorepo and should be treated as implementation-grounded rather than as a promise that every login attempt will succeed regardless of a third-party website's changes.</w:t>
      </w:r>
    </w:p>
    <w:p>
      <w:pPr>
        <w:keepNext/>
        <w:spacing w:before="200" w:after="80"/>
      </w:pPr>
      <w:r>
        <w:rPr>
          <w:b/>
          <w:color w:val="1E293B"/>
          <w:sz w:val="23"/>
        </w:rPr>
        <w:t>Key Takeaways</w:t>
      </w:r>
    </w:p>
    <w:p>
      <w:pPr>
        <w:pStyle w:val="ListBullet"/>
        <w:spacing w:after="80"/>
      </w:pPr>
      <w:r>
        <w:rPr>
          <w:b/>
          <w:color w:val="0F172A"/>
        </w:rPr>
        <w:t xml:space="preserve">Email provider support: </w:t>
      </w:r>
      <w:r>
        <w:rPr>
          <w:color w:val="334155"/>
        </w:rPr>
        <w:t>Gmail and Google Workspace are supported through OAuth 2.0 and the Gmail REST API, with the integration scoped to gmail.readonly. Outlook / Office 365 is not implemented in the current release.</w:t>
      </w:r>
    </w:p>
    <w:p>
      <w:pPr>
        <w:pStyle w:val="ListBullet"/>
        <w:spacing w:after="80"/>
      </w:pPr>
      <w:r>
        <w:rPr>
          <w:b/>
          <w:color w:val="0F172A"/>
        </w:rPr>
        <w:t xml:space="preserve">End-to-end automated platforms: </w:t>
      </w:r>
      <w:r>
        <w:rPr>
          <w:color w:val="334155"/>
        </w:rPr>
        <w:t>Vercel, Stripe, and Razorpay are the three platforms identified as having both extension-side OTP input watchers and corresponding backend extraction support.</w:t>
      </w:r>
    </w:p>
    <w:p>
      <w:pPr>
        <w:pStyle w:val="ListBullet"/>
        <w:spacing w:after="80"/>
      </w:pPr>
      <w:r>
        <w:rPr>
          <w:b/>
          <w:color w:val="0F172A"/>
        </w:rPr>
        <w:t xml:space="preserve">Platforms without automated OTP autofill: </w:t>
      </w:r>
      <w:r>
        <w:rPr>
          <w:color w:val="334155"/>
        </w:rPr>
        <w:t>GoDaddy, GitHub, Shopify, LinkedIn, Gmail / Google login, GST, MCA, and Udyam do not have an active end-to-end OTP autofill path in the described implementation. Their verification flows may require manual entry, an authenticator, a hardware key, SMS, or CAPTCHA completion.</w:t>
      </w:r>
    </w:p>
    <w:p>
      <w:pPr>
        <w:pStyle w:val="ListBullet"/>
        <w:spacing w:after="80"/>
      </w:pPr>
      <w:r>
        <w:rPr>
          <w:b/>
          <w:color w:val="0F172A"/>
        </w:rPr>
        <w:t xml:space="preserve">Email isolation: </w:t>
      </w:r>
      <w:r>
        <w:rPr>
          <w:color w:val="334155"/>
        </w:rPr>
        <w:t>The described pipeline narrows the Gmail search by time window and sender domain before processing candidate messages, then applies timestamp and pattern checks. The report describes this as a privacy-oriented isolation design; the exact guarantee depends on the deployed query and code path matching the documented implementation.</w:t>
      </w:r>
    </w:p>
    <w:p>
      <w:pPr>
        <w:keepNext/>
        <w:spacing w:before="320" w:after="120"/>
      </w:pPr>
      <w:r>
        <w:rPr>
          <w:b/>
          <w:color w:val="0F172A"/>
          <w:sz w:val="28"/>
        </w:rPr>
        <w:t>2. Core Architecture: How the Correct OTP Is Isolated</w:t>
      </w:r>
    </w:p>
    <w:p>
      <w:r>
        <w:t>A key design question is what happens if a banking OTP and a platform login OTP arrive in the same inbox at nearly the same time. The described implementation uses multiple checks so the extraction service focuses on the code associated with the current login attempt.</w:t>
      </w:r>
    </w:p>
    <w:p>
      <w:pPr>
        <w:keepNext/>
        <w:spacing w:before="200" w:after="80"/>
      </w:pPr>
      <w:r>
        <w:rPr>
          <w:b/>
          <w:color w:val="1E293B"/>
          <w:sz w:val="23"/>
        </w:rPr>
        <w:t>End-to-end Flow</w:t>
      </w:r>
    </w:p>
    <w:tbl>
      <w:tblPr>
        <w:tblW w:type="auto" w:w="0"/>
        <w:jc w:val="center"/>
        <w:tblLook w:firstColumn="1" w:firstRow="1" w:lastColumn="0" w:lastRow="0" w:noHBand="0" w:noVBand="1" w:val="04A0"/>
      </w:tblPr>
      <w:tblGrid>
        <w:gridCol w:w="3264"/>
        <w:gridCol w:w="3264"/>
        <w:gridCol w:w="3264"/>
      </w:tblGrid>
      <w:tr>
        <w:tc>
          <w:tcPr>
            <w:tcW w:type="dxa" w:w="2592"/>
            <w:shd w:fill="0F172A"/>
            <w:tcMar>
              <w:top w:w="100" w:type="dxa"/>
              <w:bottom w:w="100" w:type="dxa"/>
              <w:left w:w="120" w:type="dxa"/>
              <w:right w:w="120" w:type="dxa"/>
            </w:tcMar>
          </w:tcPr>
          <w:p>
            <w:pPr>
              <w:spacing w:after="0"/>
            </w:pPr>
            <w:r>
              <w:rPr>
                <w:b/>
                <w:color w:val="FFFFFF"/>
                <w:sz w:val="19"/>
              </w:rPr>
              <w:t>Step</w:t>
            </w:r>
          </w:p>
        </w:tc>
        <w:tc>
          <w:tcPr>
            <w:tcW w:type="dxa" w:w="3600"/>
            <w:shd w:fill="0F172A"/>
            <w:tcMar>
              <w:top w:w="100" w:type="dxa"/>
              <w:bottom w:w="100" w:type="dxa"/>
              <w:left w:w="120" w:type="dxa"/>
              <w:right w:w="120" w:type="dxa"/>
            </w:tcMar>
          </w:tcPr>
          <w:p>
            <w:pPr>
              <w:spacing w:after="0"/>
            </w:pPr>
            <w:r>
              <w:rPr>
                <w:b/>
                <w:color w:val="FFFFFF"/>
                <w:sz w:val="19"/>
              </w:rPr>
              <w:t>What happens</w:t>
            </w:r>
          </w:p>
        </w:tc>
        <w:tc>
          <w:tcPr>
            <w:tcW w:type="dxa" w:w="3456"/>
            <w:shd w:fill="0F172A"/>
            <w:tcMar>
              <w:top w:w="100" w:type="dxa"/>
              <w:bottom w:w="100" w:type="dxa"/>
              <w:left w:w="120" w:type="dxa"/>
              <w:right w:w="120" w:type="dxa"/>
            </w:tcMar>
          </w:tcPr>
          <w:p>
            <w:pPr>
              <w:spacing w:after="0"/>
            </w:pPr>
            <w:r>
              <w:rPr>
                <w:b/>
                <w:color w:val="FFFFFF"/>
                <w:sz w:val="19"/>
              </w:rPr>
              <w:t>Why it matters</w:t>
            </w:r>
          </w:p>
        </w:tc>
      </w:tr>
      <w:tr>
        <w:tc>
          <w:tcPr>
            <w:tcW w:type="dxa" w:w="2592"/>
            <w:shd w:fill="F8FAFC"/>
            <w:tcMar>
              <w:top w:w="80" w:type="dxa"/>
              <w:bottom w:w="80" w:type="dxa"/>
              <w:left w:w="120" w:type="dxa"/>
              <w:right w:w="120" w:type="dxa"/>
            </w:tcMar>
          </w:tcPr>
          <w:p>
            <w:pPr>
              <w:spacing w:after="0"/>
            </w:pPr>
            <w:r>
              <w:rPr>
                <w:b/>
                <w:sz w:val="18"/>
              </w:rPr>
              <w:t>1. User starts login</w:t>
            </w:r>
          </w:p>
        </w:tc>
        <w:tc>
          <w:tcPr>
            <w:tcW w:type="dxa" w:w="3600"/>
            <w:shd w:fill="F8FAFC"/>
            <w:tcMar>
              <w:top w:w="80" w:type="dxa"/>
              <w:bottom w:w="80" w:type="dxa"/>
              <w:left w:w="120" w:type="dxa"/>
              <w:right w:w="120" w:type="dxa"/>
            </w:tcMar>
          </w:tcPr>
          <w:p>
            <w:pPr>
              <w:spacing w:after="0"/>
            </w:pPr>
            <w:r>
              <w:rPr>
                <w:sz w:val="18"/>
              </w:rPr>
              <w:t>The extension records loginStartTime.</w:t>
            </w:r>
          </w:p>
        </w:tc>
        <w:tc>
          <w:tcPr>
            <w:tcW w:type="dxa" w:w="3456"/>
            <w:shd w:fill="F8FAFC"/>
            <w:tcMar>
              <w:top w:w="80" w:type="dxa"/>
              <w:bottom w:w="80" w:type="dxa"/>
              <w:left w:w="120" w:type="dxa"/>
              <w:right w:w="120" w:type="dxa"/>
            </w:tcMar>
          </w:tcPr>
          <w:p>
            <w:pPr>
              <w:spacing w:after="0"/>
            </w:pPr>
            <w:r>
              <w:rPr>
                <w:sz w:val="18"/>
              </w:rPr>
              <w:t>Creates a time reference for the current attempt.</w:t>
            </w:r>
          </w:p>
        </w:tc>
      </w:tr>
      <w:tr>
        <w:tc>
          <w:tcPr>
            <w:tcW w:type="dxa" w:w="2592"/>
            <w:shd w:fill="FFFFFF"/>
            <w:tcMar>
              <w:top w:w="80" w:type="dxa"/>
              <w:bottom w:w="80" w:type="dxa"/>
              <w:left w:w="120" w:type="dxa"/>
              <w:right w:w="120" w:type="dxa"/>
            </w:tcMar>
          </w:tcPr>
          <w:p>
            <w:pPr>
              <w:spacing w:after="0"/>
            </w:pPr>
            <w:r>
              <w:rPr>
                <w:b/>
                <w:sz w:val="18"/>
              </w:rPr>
              <w:t>2. Extension calls backend</w:t>
            </w:r>
          </w:p>
        </w:tc>
        <w:tc>
          <w:tcPr>
            <w:tcW w:type="dxa" w:w="3600"/>
            <w:shd w:fill="FFFFFF"/>
            <w:tcMar>
              <w:top w:w="80" w:type="dxa"/>
              <w:bottom w:w="80" w:type="dxa"/>
              <w:left w:w="120" w:type="dxa"/>
              <w:right w:w="120" w:type="dxa"/>
            </w:tcMar>
          </w:tcPr>
          <w:p>
            <w:pPr>
              <w:spacing w:after="0"/>
            </w:pPr>
            <w:r>
              <w:rPr>
                <w:sz w:val="18"/>
              </w:rPr>
              <w:t>The extension requests an OTP through /gmail/otp.</w:t>
            </w:r>
          </w:p>
        </w:tc>
        <w:tc>
          <w:tcPr>
            <w:tcW w:type="dxa" w:w="3456"/>
            <w:shd w:fill="FFFFFF"/>
            <w:tcMar>
              <w:top w:w="80" w:type="dxa"/>
              <w:bottom w:w="80" w:type="dxa"/>
              <w:left w:w="120" w:type="dxa"/>
              <w:right w:w="120" w:type="dxa"/>
            </w:tcMar>
          </w:tcPr>
          <w:p>
            <w:pPr>
              <w:spacing w:after="0"/>
            </w:pPr>
            <w:r>
              <w:rPr>
                <w:sz w:val="18"/>
              </w:rPr>
              <w:t>Keeps email retrieval logic in the backend service.</w:t>
            </w:r>
          </w:p>
        </w:tc>
      </w:tr>
      <w:tr>
        <w:tc>
          <w:tcPr>
            <w:tcW w:type="dxa" w:w="2592"/>
            <w:shd w:fill="F8FAFC"/>
            <w:tcMar>
              <w:top w:w="80" w:type="dxa"/>
              <w:bottom w:w="80" w:type="dxa"/>
              <w:left w:w="120" w:type="dxa"/>
              <w:right w:w="120" w:type="dxa"/>
            </w:tcMar>
          </w:tcPr>
          <w:p>
            <w:pPr>
              <w:spacing w:after="0"/>
            </w:pPr>
            <w:r>
              <w:rPr>
                <w:b/>
                <w:sz w:val="18"/>
              </w:rPr>
              <w:t>3. Gmail query is scoped</w:t>
            </w:r>
          </w:p>
        </w:tc>
        <w:tc>
          <w:tcPr>
            <w:tcW w:type="dxa" w:w="3600"/>
            <w:shd w:fill="F8FAFC"/>
            <w:tcMar>
              <w:top w:w="80" w:type="dxa"/>
              <w:bottom w:w="80" w:type="dxa"/>
              <w:left w:w="120" w:type="dxa"/>
              <w:right w:w="120" w:type="dxa"/>
            </w:tcMar>
          </w:tcPr>
          <w:p>
            <w:pPr>
              <w:spacing w:after="0"/>
            </w:pPr>
            <w:r>
              <w:rPr>
                <w:sz w:val="18"/>
              </w:rPr>
              <w:t>A recent inbox window and platform sender filter are applied.</w:t>
            </w:r>
          </w:p>
        </w:tc>
        <w:tc>
          <w:tcPr>
            <w:tcW w:type="dxa" w:w="3456"/>
            <w:shd w:fill="F8FAFC"/>
            <w:tcMar>
              <w:top w:w="80" w:type="dxa"/>
              <w:bottom w:w="80" w:type="dxa"/>
              <w:left w:w="120" w:type="dxa"/>
              <w:right w:w="120" w:type="dxa"/>
            </w:tcMar>
          </w:tcPr>
          <w:p>
            <w:pPr>
              <w:spacing w:after="0"/>
            </w:pPr>
            <w:r>
              <w:rPr>
                <w:sz w:val="18"/>
              </w:rPr>
              <w:t>Narrows the candidate messages before retrieval.</w:t>
            </w:r>
          </w:p>
        </w:tc>
      </w:tr>
      <w:tr>
        <w:tc>
          <w:tcPr>
            <w:tcW w:type="dxa" w:w="2592"/>
            <w:shd w:fill="FFFFFF"/>
            <w:tcMar>
              <w:top w:w="80" w:type="dxa"/>
              <w:bottom w:w="80" w:type="dxa"/>
              <w:left w:w="120" w:type="dxa"/>
              <w:right w:w="120" w:type="dxa"/>
            </w:tcMar>
          </w:tcPr>
          <w:p>
            <w:pPr>
              <w:spacing w:after="0"/>
            </w:pPr>
            <w:r>
              <w:rPr>
                <w:b/>
                <w:sz w:val="18"/>
              </w:rPr>
              <w:t>4. Timestamp is checked</w:t>
            </w:r>
          </w:p>
        </w:tc>
        <w:tc>
          <w:tcPr>
            <w:tcW w:type="dxa" w:w="3600"/>
            <w:shd w:fill="FFFFFF"/>
            <w:tcMar>
              <w:top w:w="80" w:type="dxa"/>
              <w:bottom w:w="80" w:type="dxa"/>
              <w:left w:w="120" w:type="dxa"/>
              <w:right w:w="120" w:type="dxa"/>
            </w:tcMar>
          </w:tcPr>
          <w:p>
            <w:pPr>
              <w:spacing w:after="0"/>
            </w:pPr>
            <w:r>
              <w:rPr>
                <w:sz w:val="18"/>
              </w:rPr>
              <w:t>Message internalDate is compared with loginStartTime minus 15 seconds.</w:t>
            </w:r>
          </w:p>
        </w:tc>
        <w:tc>
          <w:tcPr>
            <w:tcW w:type="dxa" w:w="3456"/>
            <w:shd w:fill="FFFFFF"/>
            <w:tcMar>
              <w:top w:w="80" w:type="dxa"/>
              <w:bottom w:w="80" w:type="dxa"/>
              <w:left w:w="120" w:type="dxa"/>
              <w:right w:w="120" w:type="dxa"/>
            </w:tcMar>
          </w:tcPr>
          <w:p>
            <w:pPr>
              <w:spacing w:after="0"/>
            </w:pPr>
            <w:r>
              <w:rPr>
                <w:sz w:val="18"/>
              </w:rPr>
              <w:t>Rejects messages that are too old for the current attempt.</w:t>
            </w:r>
          </w:p>
        </w:tc>
      </w:tr>
      <w:tr>
        <w:tc>
          <w:tcPr>
            <w:tcW w:type="dxa" w:w="2592"/>
            <w:shd w:fill="F8FAFC"/>
            <w:tcMar>
              <w:top w:w="80" w:type="dxa"/>
              <w:bottom w:w="80" w:type="dxa"/>
              <w:left w:w="120" w:type="dxa"/>
              <w:right w:w="120" w:type="dxa"/>
            </w:tcMar>
          </w:tcPr>
          <w:p>
            <w:pPr>
              <w:spacing w:after="0"/>
            </w:pPr>
            <w:r>
              <w:rPr>
                <w:b/>
                <w:sz w:val="18"/>
              </w:rPr>
              <w:t>5. OTP pattern is checked</w:t>
            </w:r>
          </w:p>
        </w:tc>
        <w:tc>
          <w:tcPr>
            <w:tcW w:type="dxa" w:w="3600"/>
            <w:shd w:fill="F8FAFC"/>
            <w:tcMar>
              <w:top w:w="80" w:type="dxa"/>
              <w:bottom w:w="80" w:type="dxa"/>
              <w:left w:w="120" w:type="dxa"/>
              <w:right w:w="120" w:type="dxa"/>
            </w:tcMar>
          </w:tcPr>
          <w:p>
            <w:pPr>
              <w:spacing w:after="0"/>
            </w:pPr>
            <w:r>
              <w:rPr>
                <w:sz w:val="18"/>
              </w:rPr>
              <w:t>OTP_PATTERNS are used to match the expected vendor message format.</w:t>
            </w:r>
          </w:p>
        </w:tc>
        <w:tc>
          <w:tcPr>
            <w:tcW w:type="dxa" w:w="3456"/>
            <w:shd w:fill="F8FAFC"/>
            <w:tcMar>
              <w:top w:w="80" w:type="dxa"/>
              <w:bottom w:w="80" w:type="dxa"/>
              <w:left w:w="120" w:type="dxa"/>
              <w:right w:w="120" w:type="dxa"/>
            </w:tcMar>
          </w:tcPr>
          <w:p>
            <w:pPr>
              <w:spacing w:after="0"/>
            </w:pPr>
            <w:r>
              <w:rPr>
                <w:sz w:val="18"/>
              </w:rPr>
              <w:t>Reduces the chance of extracting unrelated numbers or malformed codes.</w:t>
            </w:r>
          </w:p>
        </w:tc>
      </w:tr>
      <w:tr>
        <w:tc>
          <w:tcPr>
            <w:tcW w:type="dxa" w:w="2592"/>
            <w:shd w:fill="FFFFFF"/>
            <w:tcMar>
              <w:top w:w="80" w:type="dxa"/>
              <w:bottom w:w="80" w:type="dxa"/>
              <w:left w:w="120" w:type="dxa"/>
              <w:right w:w="120" w:type="dxa"/>
            </w:tcMar>
          </w:tcPr>
          <w:p>
            <w:pPr>
              <w:spacing w:after="0"/>
            </w:pPr>
            <w:r>
              <w:rPr>
                <w:b/>
                <w:sz w:val="18"/>
              </w:rPr>
              <w:t>6. Minimal result is returned</w:t>
            </w:r>
          </w:p>
        </w:tc>
        <w:tc>
          <w:tcPr>
            <w:tcW w:type="dxa" w:w="3600"/>
            <w:shd w:fill="FFFFFF"/>
            <w:tcMar>
              <w:top w:w="80" w:type="dxa"/>
              <w:bottom w:w="80" w:type="dxa"/>
              <w:left w:w="120" w:type="dxa"/>
              <w:right w:w="120" w:type="dxa"/>
            </w:tcMar>
          </w:tcPr>
          <w:p>
            <w:pPr>
              <w:spacing w:after="0"/>
            </w:pPr>
            <w:r>
              <w:rPr>
                <w:sz w:val="18"/>
              </w:rPr>
              <w:t>The backend returns the OTP value only; the extension fills the configured field(s).</w:t>
            </w:r>
          </w:p>
        </w:tc>
        <w:tc>
          <w:tcPr>
            <w:tcW w:type="dxa" w:w="3456"/>
            <w:shd w:fill="FFFFFF"/>
            <w:tcMar>
              <w:top w:w="80" w:type="dxa"/>
              <w:bottom w:w="80" w:type="dxa"/>
              <w:left w:w="120" w:type="dxa"/>
              <w:right w:w="120" w:type="dxa"/>
            </w:tcMar>
          </w:tcPr>
          <w:p>
            <w:pPr>
              <w:spacing w:after="0"/>
            </w:pPr>
            <w:r>
              <w:rPr>
                <w:sz w:val="18"/>
              </w:rPr>
              <w:t>Avoids sending the full email body into the page DOM.</w:t>
            </w:r>
          </w:p>
        </w:tc>
      </w:tr>
    </w:tbl>
    <w:p>
      <w:pPr>
        <w:spacing w:after="120"/>
      </w:pPr>
    </w:p>
    <w:p>
      <w:pPr>
        <w:keepNext/>
        <w:spacing w:before="200" w:after="80"/>
      </w:pPr>
      <w:r>
        <w:rPr>
          <w:b/>
          <w:color w:val="1E293B"/>
          <w:sz w:val="23"/>
        </w:rPr>
        <w:t>Stage 1 — Server-side Gmail query scoping</w:t>
      </w:r>
    </w:p>
    <w:p>
      <w:r>
        <w:t>The backend function buildSearchQuery() constructs a Gmail search query. The base window shown in the source is newer_than:5m in:inbox. For known platforms, a sender-domain filter is added (for example, Stripe or Vercel). Because the filter is applied by Gmail, it narrows which messages are returned to the service.</w:t>
      </w:r>
    </w:p>
    <w:tbl>
      <w:tblPr>
        <w:tblW w:type="auto" w:w="0"/>
        <w:jc w:val="center"/>
        <w:tblLook w:firstColumn="1" w:firstRow="1" w:lastColumn="0" w:lastRow="0" w:noHBand="0" w:noVBand="1" w:val="04A0"/>
      </w:tblPr>
      <w:tblGrid>
        <w:gridCol w:w="9792"/>
      </w:tblGrid>
      <w:tr>
        <w:tc>
          <w:tcPr>
            <w:tcW w:type="dxa" w:w="9648"/>
            <w:shd w:fill="F1F5F9"/>
            <w:tcMar>
              <w:top w:w="120" w:type="dxa"/>
              <w:bottom w:w="120" w:type="dxa"/>
              <w:left w:w="160" w:type="dxa"/>
              <w:right w:w="160" w:type="dxa"/>
            </w:tcMar>
          </w:tcPr>
          <w:p>
            <w:pPr>
              <w:spacing w:after="0" w:line="276" w:lineRule="auto"/>
            </w:pPr>
            <w:r>
              <w:rPr>
                <w:rFonts w:ascii="Consolas" w:hAnsi="Consolas"/>
                <w:color w:val="0F172A"/>
                <w:sz w:val="18"/>
              </w:rPr>
              <w:t>const baseWindow = 'newer_than:5m in:inbox';</w:t>
              <w:br/>
              <w:t>const senderMap = {</w:t>
              <w:br/>
              <w:t xml:space="preserve">  GITHUB: 'from:(github.com OR noreply.github.com)',</w:t>
              <w:br/>
              <w:t xml:space="preserve">  STRIPE: 'from:stripe.com',</w:t>
              <w:br/>
              <w:t xml:space="preserve">  SHOPIFY: 'from:(shopify.com OR mail.shopify.com)',</w:t>
              <w:br/>
              <w:t xml:space="preserve">  LINKEDIN: 'from:(linkedin.com OR e.linkedin.com)',</w:t>
              <w:br/>
              <w:t xml:space="preserve">  RAZORPAY: 'from:razorpay.com',</w:t>
              <w:br/>
              <w:t xml:space="preserve">  VERCEL: 'from:vercel.com',</w:t>
              <w:br/>
              <w:t xml:space="preserve">  GODADDY: 'from:godaddy.com',</w:t>
              <w:br/>
              <w:t>};</w:t>
            </w:r>
          </w:p>
        </w:tc>
      </w:tr>
    </w:tbl>
    <w:p>
      <w:pPr>
        <w:spacing w:after="120"/>
      </w:pPr>
    </w:p>
    <w:p>
      <w:pPr>
        <w:keepNext/>
        <w:spacing w:before="200" w:after="80"/>
      </w:pPr>
      <w:r>
        <w:rPr>
          <w:b/>
          <w:color w:val="1E293B"/>
          <w:sz w:val="23"/>
        </w:rPr>
        <w:t>Stage 2 — Timestamp validation</w:t>
      </w:r>
    </w:p>
    <w:p>
      <w:r>
        <w:t>The service compares the message's internalDate with the loginStartTime captured by the extension. The described implementation allows a 15,000-millisecond (15-second) clock-skew buffer. Older messages are rejected, helping avoid using a code from an earlier login attempt.</w:t>
      </w:r>
    </w:p>
    <w:tbl>
      <w:tblPr>
        <w:tblW w:type="auto" w:w="0"/>
        <w:jc w:val="center"/>
        <w:tblLook w:firstColumn="1" w:firstRow="1" w:lastColumn="0" w:lastRow="0" w:noHBand="0" w:noVBand="1" w:val="04A0"/>
      </w:tblPr>
      <w:tblGrid>
        <w:gridCol w:w="9792"/>
      </w:tblGrid>
      <w:tr>
        <w:tc>
          <w:tcPr>
            <w:tcW w:type="dxa" w:w="9648"/>
            <w:shd w:fill="F1F5F9"/>
            <w:tcMar>
              <w:top w:w="120" w:type="dxa"/>
              <w:bottom w:w="120" w:type="dxa"/>
              <w:left w:w="160" w:type="dxa"/>
              <w:right w:w="160" w:type="dxa"/>
            </w:tcMar>
          </w:tcPr>
          <w:p>
            <w:pPr>
              <w:spacing w:after="0" w:line="276" w:lineRule="auto"/>
            </w:pPr>
            <w:r>
              <w:rPr>
                <w:rFonts w:ascii="Consolas" w:hAnsi="Consolas"/>
                <w:color w:val="0F172A"/>
                <w:sz w:val="18"/>
              </w:rPr>
              <w:t>const internalDate = parseInt(message.internalDate, 10);</w:t>
              <w:br/>
              <w:t>if (internalDate &lt; loginStartTime - 15000) {</w:t>
              <w:br/>
              <w:t xml:space="preserve">  // Message predates the login attempt beyond the clock-skew buffer.</w:t>
              <w:br/>
              <w:t xml:space="preserve">  break;</w:t>
              <w:br/>
              <w:t>}</w:t>
            </w:r>
          </w:p>
        </w:tc>
      </w:tr>
    </w:tbl>
    <w:p>
      <w:pPr>
        <w:spacing w:after="120"/>
      </w:pPr>
    </w:p>
    <w:p>
      <w:pPr>
        <w:keepNext/>
        <w:spacing w:before="200" w:after="80"/>
      </w:pPr>
      <w:r>
        <w:rPr>
          <w:b/>
          <w:color w:val="1E293B"/>
          <w:sz w:val="23"/>
        </w:rPr>
        <w:t>Stage 3 — Platform-specific OTP patterns</w:t>
      </w:r>
    </w:p>
    <w:p>
      <w:r>
        <w:t>The backend evaluates the message against OTP_PATTERNS in otp-patterns.ts. These patterns are tailored to vendor message formats and aim to isolate the actual code rather than arbitrary numbers in an email.</w:t>
      </w:r>
    </w:p>
    <w:p>
      <w:pPr>
        <w:keepNext/>
        <w:spacing w:before="200" w:after="80"/>
      </w:pPr>
      <w:r>
        <w:rPr>
          <w:b/>
          <w:color w:val="1E293B"/>
          <w:sz w:val="23"/>
        </w:rPr>
        <w:t>Stage 4 — Minimal response and DOM injection</w:t>
      </w:r>
    </w:p>
    <w:p>
      <w:r>
        <w:t>The GmailOtpService returns a small payload such as { otp: "492019" }. The extension's startOtpWatcher() then fills the configured OTP field or segmented fields. In the described flow, the email body and its metadata are not injected into the browser page's DOM.</w:t>
      </w:r>
    </w:p>
    <w:p>
      <w:pPr>
        <w:spacing w:before="120" w:after="200"/>
      </w:pPr>
      <w:r>
        <w:rPr>
          <w:b/>
          <w:color w:val="4338CA"/>
        </w:rPr>
        <w:t>Plain-language summary: first narrow the search, then check the message time, then check the vendor-specific format, and finally pass only the code to the extension.</w:t>
      </w:r>
    </w:p>
    <w:p>
      <w:pPr>
        <w:keepNext/>
        <w:spacing w:before="320" w:after="120"/>
      </w:pPr>
      <w:r>
        <w:rPr>
          <w:b/>
          <w:color w:val="0F172A"/>
          <w:sz w:val="28"/>
        </w:rPr>
        <w:t>3. Email Provider Support</w:t>
      </w:r>
    </w:p>
    <w:p>
      <w:r>
        <w:t>The current implementation described in the source supports Gmail and Google Workspace only.</w:t>
      </w:r>
    </w:p>
    <w:tbl>
      <w:tblPr>
        <w:tblW w:type="auto" w:w="0"/>
        <w:jc w:val="center"/>
        <w:tblLook w:firstColumn="1" w:firstRow="1" w:lastColumn="0" w:lastRow="0" w:noHBand="0" w:noVBand="1" w:val="04A0"/>
      </w:tblPr>
      <w:tblGrid>
        <w:gridCol w:w="2448"/>
        <w:gridCol w:w="2448"/>
        <w:gridCol w:w="2448"/>
        <w:gridCol w:w="2448"/>
      </w:tblGrid>
      <w:tr>
        <w:tc>
          <w:tcPr>
            <w:tcW w:type="dxa" w:w="2592"/>
            <w:shd w:fill="0F172A"/>
            <w:tcMar>
              <w:top w:w="100" w:type="dxa"/>
              <w:bottom w:w="100" w:type="dxa"/>
              <w:left w:w="100" w:type="dxa"/>
              <w:right w:w="100" w:type="dxa"/>
            </w:tcMar>
          </w:tcPr>
          <w:p>
            <w:pPr>
              <w:spacing w:after="0"/>
            </w:pPr>
            <w:r>
              <w:rPr>
                <w:b/>
                <w:color w:val="FFFFFF"/>
                <w:sz w:val="19"/>
              </w:rPr>
              <w:t>Provider</w:t>
            </w:r>
          </w:p>
        </w:tc>
        <w:tc>
          <w:tcPr>
            <w:tcW w:type="dxa" w:w="1728"/>
            <w:shd w:fill="0F172A"/>
            <w:tcMar>
              <w:top w:w="100" w:type="dxa"/>
              <w:bottom w:w="100" w:type="dxa"/>
              <w:left w:w="100" w:type="dxa"/>
              <w:right w:w="100" w:type="dxa"/>
            </w:tcMar>
          </w:tcPr>
          <w:p>
            <w:pPr>
              <w:spacing w:after="0"/>
            </w:pPr>
            <w:r>
              <w:rPr>
                <w:b/>
                <w:color w:val="FFFFFF"/>
                <w:sz w:val="19"/>
              </w:rPr>
              <w:t>Current status</w:t>
            </w:r>
          </w:p>
        </w:tc>
        <w:tc>
          <w:tcPr>
            <w:tcW w:type="dxa" w:w="3168"/>
            <w:shd w:fill="0F172A"/>
            <w:tcMar>
              <w:top w:w="100" w:type="dxa"/>
              <w:bottom w:w="100" w:type="dxa"/>
              <w:left w:w="100" w:type="dxa"/>
              <w:right w:w="100" w:type="dxa"/>
            </w:tcMar>
          </w:tcPr>
          <w:p>
            <w:pPr>
              <w:spacing w:after="0"/>
            </w:pPr>
            <w:r>
              <w:rPr>
                <w:b/>
                <w:color w:val="FFFFFF"/>
                <w:sz w:val="19"/>
              </w:rPr>
              <w:t>Implementation described</w:t>
            </w:r>
          </w:p>
        </w:tc>
        <w:tc>
          <w:tcPr>
            <w:tcW w:type="dxa" w:w="2160"/>
            <w:shd w:fill="0F172A"/>
            <w:tcMar>
              <w:top w:w="100" w:type="dxa"/>
              <w:bottom w:w="100" w:type="dxa"/>
              <w:left w:w="100" w:type="dxa"/>
              <w:right w:w="100" w:type="dxa"/>
            </w:tcMar>
          </w:tcPr>
          <w:p>
            <w:pPr>
              <w:spacing w:after="0"/>
            </w:pPr>
            <w:r>
              <w:rPr>
                <w:b/>
                <w:color w:val="FFFFFF"/>
                <w:sz w:val="19"/>
              </w:rPr>
              <w:t>Roadmap / note</w:t>
            </w:r>
          </w:p>
        </w:tc>
      </w:tr>
      <w:tr>
        <w:tc>
          <w:tcPr>
            <w:tcW w:type="dxa" w:w="2592"/>
            <w:shd w:fill="F8FAFC"/>
            <w:tcMar>
              <w:top w:w="80" w:type="dxa"/>
              <w:bottom w:w="80" w:type="dxa"/>
              <w:left w:w="100" w:type="dxa"/>
              <w:right w:w="100" w:type="dxa"/>
            </w:tcMar>
          </w:tcPr>
          <w:p>
            <w:pPr>
              <w:spacing w:after="0"/>
            </w:pPr>
            <w:r>
              <w:rPr>
                <w:b/>
                <w:sz w:val="18"/>
              </w:rPr>
              <w:t>Gmail / Google Workspace</w:t>
            </w:r>
          </w:p>
        </w:tc>
        <w:tc>
          <w:tcPr>
            <w:tcW w:type="dxa" w:w="1728"/>
            <w:shd w:fill="F8FAFC"/>
            <w:tcMar>
              <w:top w:w="80" w:type="dxa"/>
              <w:bottom w:w="80" w:type="dxa"/>
              <w:left w:w="100" w:type="dxa"/>
              <w:right w:w="100" w:type="dxa"/>
            </w:tcMar>
          </w:tcPr>
          <w:p>
            <w:pPr>
              <w:spacing w:after="0"/>
            </w:pPr>
            <w:r>
              <w:rPr>
                <w:b/>
                <w:color w:val="059669"/>
                <w:sz w:val="18"/>
              </w:rPr>
              <w:t>Supported</w:t>
            </w:r>
          </w:p>
        </w:tc>
        <w:tc>
          <w:tcPr>
            <w:tcW w:type="dxa" w:w="3168"/>
            <w:shd w:fill="F8FAFC"/>
            <w:tcMar>
              <w:top w:w="80" w:type="dxa"/>
              <w:bottom w:w="80" w:type="dxa"/>
              <w:left w:w="100" w:type="dxa"/>
              <w:right w:w="100" w:type="dxa"/>
            </w:tcMar>
          </w:tcPr>
          <w:p>
            <w:pPr>
              <w:spacing w:after="0"/>
            </w:pPr>
            <w:r>
              <w:rPr>
                <w:sz w:val="18"/>
              </w:rPr>
              <w:t>Google Gmail REST API via OAuth 2.0; gmail.readonly scope.</w:t>
            </w:r>
          </w:p>
        </w:tc>
        <w:tc>
          <w:tcPr>
            <w:tcW w:type="dxa" w:w="2160"/>
            <w:shd w:fill="F8FAFC"/>
            <w:tcMar>
              <w:top w:w="80" w:type="dxa"/>
              <w:bottom w:w="80" w:type="dxa"/>
              <w:left w:w="100" w:type="dxa"/>
              <w:right w:w="100" w:type="dxa"/>
            </w:tcMar>
          </w:tcPr>
          <w:p>
            <w:pPr>
              <w:spacing w:after="0"/>
            </w:pPr>
            <w:r>
              <w:rPr>
                <w:sz w:val="18"/>
              </w:rPr>
              <w:t>Active in the current release.</w:t>
            </w:r>
          </w:p>
        </w:tc>
      </w:tr>
      <w:tr>
        <w:tc>
          <w:tcPr>
            <w:tcW w:type="dxa" w:w="2592"/>
            <w:shd w:fill="FFFFFF"/>
            <w:tcMar>
              <w:top w:w="80" w:type="dxa"/>
              <w:bottom w:w="80" w:type="dxa"/>
              <w:left w:w="100" w:type="dxa"/>
              <w:right w:w="100" w:type="dxa"/>
            </w:tcMar>
          </w:tcPr>
          <w:p>
            <w:pPr>
              <w:spacing w:after="0"/>
            </w:pPr>
            <w:r>
              <w:rPr>
                <w:b/>
                <w:sz w:val="18"/>
              </w:rPr>
              <w:t>Microsoft Outlook / Office 365</w:t>
            </w:r>
          </w:p>
        </w:tc>
        <w:tc>
          <w:tcPr>
            <w:tcW w:type="dxa" w:w="1728"/>
            <w:shd w:fill="FFFFFF"/>
            <w:tcMar>
              <w:top w:w="80" w:type="dxa"/>
              <w:bottom w:w="80" w:type="dxa"/>
              <w:left w:w="100" w:type="dxa"/>
              <w:right w:w="100" w:type="dxa"/>
            </w:tcMar>
          </w:tcPr>
          <w:p>
            <w:pPr>
              <w:spacing w:after="0"/>
            </w:pPr>
            <w:r>
              <w:rPr>
                <w:b/>
                <w:color w:val="DC2626"/>
                <w:sz w:val="18"/>
              </w:rPr>
              <w:t>Not supported</w:t>
            </w:r>
          </w:p>
        </w:tc>
        <w:tc>
          <w:tcPr>
            <w:tcW w:type="dxa" w:w="3168"/>
            <w:shd w:fill="FFFFFF"/>
            <w:tcMar>
              <w:top w:w="80" w:type="dxa"/>
              <w:bottom w:w="80" w:type="dxa"/>
              <w:left w:w="100" w:type="dxa"/>
              <w:right w:w="100" w:type="dxa"/>
            </w:tcMar>
          </w:tcPr>
          <w:p>
            <w:pPr>
              <w:spacing w:after="0"/>
            </w:pPr>
            <w:r>
              <w:rPr>
                <w:sz w:val="18"/>
              </w:rPr>
              <w:t>No Microsoft Graph endpoints, Azure App Registration, or MSAL handlers are described in the codebase.</w:t>
            </w:r>
          </w:p>
        </w:tc>
        <w:tc>
          <w:tcPr>
            <w:tcW w:type="dxa" w:w="2160"/>
            <w:shd w:fill="FFFFFF"/>
            <w:tcMar>
              <w:top w:w="80" w:type="dxa"/>
              <w:bottom w:w="80" w:type="dxa"/>
              <w:left w:w="100" w:type="dxa"/>
              <w:right w:w="100" w:type="dxa"/>
            </w:tcMar>
          </w:tcPr>
          <w:p>
            <w:pPr>
              <w:spacing w:after="0"/>
            </w:pPr>
            <w:r>
              <w:rPr>
                <w:sz w:val="18"/>
              </w:rPr>
              <w:t>Candidate for future expansion.</w:t>
            </w:r>
          </w:p>
        </w:tc>
      </w:tr>
      <w:tr>
        <w:tc>
          <w:tcPr>
            <w:tcW w:type="dxa" w:w="2592"/>
            <w:shd w:fill="F8FAFC"/>
            <w:tcMar>
              <w:top w:w="80" w:type="dxa"/>
              <w:bottom w:w="80" w:type="dxa"/>
              <w:left w:w="100" w:type="dxa"/>
              <w:right w:w="100" w:type="dxa"/>
            </w:tcMar>
          </w:tcPr>
          <w:p>
            <w:pPr>
              <w:spacing w:after="0"/>
            </w:pPr>
            <w:r>
              <w:rPr>
                <w:b/>
                <w:sz w:val="18"/>
              </w:rPr>
              <w:t>IMAP / POP3 / custom SMTP</w:t>
            </w:r>
          </w:p>
        </w:tc>
        <w:tc>
          <w:tcPr>
            <w:tcW w:type="dxa" w:w="1728"/>
            <w:shd w:fill="F8FAFC"/>
            <w:tcMar>
              <w:top w:w="80" w:type="dxa"/>
              <w:bottom w:w="80" w:type="dxa"/>
              <w:left w:w="100" w:type="dxa"/>
              <w:right w:w="100" w:type="dxa"/>
            </w:tcMar>
          </w:tcPr>
          <w:p>
            <w:pPr>
              <w:spacing w:after="0"/>
            </w:pPr>
            <w:r>
              <w:rPr>
                <w:b/>
                <w:color w:val="DC2626"/>
                <w:sz w:val="18"/>
              </w:rPr>
              <w:t>Not supported</w:t>
            </w:r>
          </w:p>
        </w:tc>
        <w:tc>
          <w:tcPr>
            <w:tcW w:type="dxa" w:w="3168"/>
            <w:shd w:fill="F8FAFC"/>
            <w:tcMar>
              <w:top w:w="80" w:type="dxa"/>
              <w:bottom w:w="80" w:type="dxa"/>
              <w:left w:w="100" w:type="dxa"/>
              <w:right w:w="100" w:type="dxa"/>
            </w:tcMar>
          </w:tcPr>
          <w:p>
            <w:pPr>
              <w:spacing w:after="0"/>
            </w:pPr>
            <w:r>
              <w:rPr>
                <w:sz w:val="18"/>
              </w:rPr>
              <w:t>Direct connections to third-party mail servers are not implemented.</w:t>
            </w:r>
          </w:p>
        </w:tc>
        <w:tc>
          <w:tcPr>
            <w:tcW w:type="dxa" w:w="2160"/>
            <w:shd w:fill="F8FAFC"/>
            <w:tcMar>
              <w:top w:w="80" w:type="dxa"/>
              <w:bottom w:w="80" w:type="dxa"/>
              <w:left w:w="100" w:type="dxa"/>
              <w:right w:w="100" w:type="dxa"/>
            </w:tcMar>
          </w:tcPr>
          <w:p>
            <w:pPr>
              <w:spacing w:after="0"/>
            </w:pPr>
            <w:r>
              <w:rPr>
                <w:sz w:val="18"/>
              </w:rPr>
              <w:t>Not on the current roadmap in the source report.</w:t>
            </w:r>
          </w:p>
        </w:tc>
      </w:tr>
    </w:tbl>
    <w:p>
      <w:pPr>
        <w:spacing w:after="200"/>
      </w:pPr>
    </w:p>
    <w:p>
      <w:pPr>
        <w:keepNext/>
        <w:spacing w:before="320" w:after="120"/>
      </w:pPr>
      <w:r>
        <w:rPr>
          <w:b/>
          <w:color w:val="0F172A"/>
          <w:sz w:val="28"/>
        </w:rPr>
        <w:t>4. Platform-by-Platform Support Matrix</w:t>
      </w:r>
    </w:p>
    <w:p>
      <w:r>
        <w:t>End-to-end automated OTP autofill requires both sides to be configured: the extension must know where the OTP input is on the page, and the backend must know how to find and parse the relevant message.</w:t>
        <w:br/>
        <w:br/>
      </w:r>
      <w:r>
        <w:rPr>
          <w:b/>
          <w:color w:val="4338CA"/>
        </w:rPr>
        <w:t>Implementation rule: Automated OTP is enabled only when the platform registry defines an OTP watcher/input selector and the backend has a matching query/pattern.</w:t>
      </w:r>
    </w:p>
    <w:tbl>
      <w:tblPr>
        <w:tblW w:type="auto" w:w="0"/>
        <w:jc w:val="center"/>
        <w:tblLook w:firstColumn="1" w:firstRow="1" w:lastColumn="0" w:lastRow="0" w:noHBand="0" w:noVBand="1" w:val="04A0"/>
      </w:tblPr>
      <w:tblGrid>
        <w:gridCol w:w="2448"/>
        <w:gridCol w:w="2448"/>
        <w:gridCol w:w="2448"/>
        <w:gridCol w:w="2448"/>
      </w:tblGrid>
      <w:tr>
        <w:tc>
          <w:tcPr>
            <w:tcW w:type="dxa" w:w="2160"/>
            <w:shd w:fill="0F172A"/>
            <w:tcMar>
              <w:top w:w="100" w:type="dxa"/>
              <w:bottom w:w="100" w:type="dxa"/>
              <w:left w:w="100" w:type="dxa"/>
              <w:right w:w="100" w:type="dxa"/>
            </w:tcMar>
          </w:tcPr>
          <w:p>
            <w:pPr>
              <w:spacing w:after="0"/>
            </w:pPr>
            <w:r>
              <w:rPr>
                <w:b/>
                <w:color w:val="FFFFFF"/>
                <w:sz w:val="19"/>
              </w:rPr>
              <w:t>Platform</w:t>
            </w:r>
          </w:p>
        </w:tc>
        <w:tc>
          <w:tcPr>
            <w:tcW w:type="dxa" w:w="2016"/>
            <w:shd w:fill="0F172A"/>
            <w:tcMar>
              <w:top w:w="100" w:type="dxa"/>
              <w:bottom w:w="100" w:type="dxa"/>
              <w:left w:w="100" w:type="dxa"/>
              <w:right w:w="100" w:type="dxa"/>
            </w:tcMar>
          </w:tcPr>
          <w:p>
            <w:pPr>
              <w:spacing w:after="0"/>
            </w:pPr>
            <w:r>
              <w:rPr>
                <w:b/>
                <w:color w:val="FFFFFF"/>
                <w:sz w:val="19"/>
              </w:rPr>
              <w:t>Category</w:t>
            </w:r>
          </w:p>
        </w:tc>
        <w:tc>
          <w:tcPr>
            <w:tcW w:type="dxa" w:w="1728"/>
            <w:shd w:fill="0F172A"/>
            <w:tcMar>
              <w:top w:w="100" w:type="dxa"/>
              <w:bottom w:w="100" w:type="dxa"/>
              <w:left w:w="100" w:type="dxa"/>
              <w:right w:w="100" w:type="dxa"/>
            </w:tcMar>
          </w:tcPr>
          <w:p>
            <w:pPr>
              <w:spacing w:after="0"/>
            </w:pPr>
            <w:r>
              <w:rPr>
                <w:b/>
                <w:color w:val="FFFFFF"/>
                <w:sz w:val="19"/>
              </w:rPr>
              <w:t>Automated OTP</w:t>
            </w:r>
          </w:p>
        </w:tc>
        <w:tc>
          <w:tcPr>
            <w:tcW w:type="dxa" w:w="3744"/>
            <w:shd w:fill="0F172A"/>
            <w:tcMar>
              <w:top w:w="100" w:type="dxa"/>
              <w:bottom w:w="100" w:type="dxa"/>
              <w:left w:w="100" w:type="dxa"/>
              <w:right w:w="100" w:type="dxa"/>
            </w:tcMar>
          </w:tcPr>
          <w:p>
            <w:pPr>
              <w:spacing w:after="0"/>
            </w:pPr>
            <w:r>
              <w:rPr>
                <w:b/>
                <w:color w:val="FFFFFF"/>
                <w:sz w:val="19"/>
              </w:rPr>
              <w:t>Technical status / reason</w:t>
            </w:r>
          </w:p>
        </w:tc>
      </w:tr>
      <w:tr>
        <w:tc>
          <w:tcPr>
            <w:tcW w:type="dxa" w:w="2160"/>
            <w:shd w:fill="F8FAFC"/>
            <w:tcMar>
              <w:top w:w="80" w:type="dxa"/>
              <w:bottom w:w="80" w:type="dxa"/>
              <w:left w:w="100" w:type="dxa"/>
              <w:right w:w="100" w:type="dxa"/>
            </w:tcMar>
          </w:tcPr>
          <w:p>
            <w:pPr>
              <w:spacing w:after="0"/>
            </w:pPr>
            <w:r>
              <w:rPr>
                <w:b/>
                <w:sz w:val="18"/>
              </w:rPr>
              <w:t>Vercel</w:t>
            </w:r>
          </w:p>
        </w:tc>
        <w:tc>
          <w:tcPr>
            <w:tcW w:type="dxa" w:w="2016"/>
            <w:shd w:fill="F8FAFC"/>
            <w:tcMar>
              <w:top w:w="80" w:type="dxa"/>
              <w:bottom w:w="80" w:type="dxa"/>
              <w:left w:w="100" w:type="dxa"/>
              <w:right w:w="100" w:type="dxa"/>
            </w:tcMar>
          </w:tcPr>
          <w:p>
            <w:pPr>
              <w:spacing w:after="0"/>
            </w:pPr>
            <w:r>
              <w:rPr>
                <w:sz w:val="18"/>
              </w:rPr>
              <w:t>Development</w:t>
            </w:r>
          </w:p>
        </w:tc>
        <w:tc>
          <w:tcPr>
            <w:tcW w:type="dxa" w:w="1728"/>
            <w:shd w:fill="F8FAFC"/>
            <w:tcMar>
              <w:top w:w="80" w:type="dxa"/>
              <w:bottom w:w="80" w:type="dxa"/>
              <w:left w:w="100" w:type="dxa"/>
              <w:right w:w="100" w:type="dxa"/>
            </w:tcMar>
          </w:tcPr>
          <w:p>
            <w:pPr>
              <w:spacing w:after="0"/>
            </w:pPr>
            <w:r>
              <w:rPr>
                <w:b/>
                <w:color w:val="059669"/>
                <w:sz w:val="18"/>
              </w:rPr>
              <w:t>ACTIVE</w:t>
            </w:r>
          </w:p>
        </w:tc>
        <w:tc>
          <w:tcPr>
            <w:tcW w:type="dxa" w:w="3744"/>
            <w:shd w:fill="F8FAFC"/>
            <w:tcMar>
              <w:top w:w="80" w:type="dxa"/>
              <w:bottom w:w="80" w:type="dxa"/>
              <w:left w:w="100" w:type="dxa"/>
              <w:right w:w="100" w:type="dxa"/>
            </w:tcMar>
          </w:tcPr>
          <w:p>
            <w:pPr>
              <w:spacing w:after="0"/>
            </w:pPr>
            <w:r>
              <w:rPr>
                <w:sz w:val="18"/>
              </w:rPr>
              <w:t>Extension watcher and backend parser are configured. Supports single or segmented OTP inputs on the described Vercel login flow.</w:t>
            </w:r>
          </w:p>
        </w:tc>
      </w:tr>
      <w:tr>
        <w:tc>
          <w:tcPr>
            <w:tcW w:type="dxa" w:w="2160"/>
            <w:shd w:fill="FFFFFF"/>
            <w:tcMar>
              <w:top w:w="80" w:type="dxa"/>
              <w:bottom w:w="80" w:type="dxa"/>
              <w:left w:w="100" w:type="dxa"/>
              <w:right w:w="100" w:type="dxa"/>
            </w:tcMar>
          </w:tcPr>
          <w:p>
            <w:pPr>
              <w:spacing w:after="0"/>
            </w:pPr>
            <w:r>
              <w:rPr>
                <w:b/>
                <w:sz w:val="18"/>
              </w:rPr>
              <w:t>Stripe</w:t>
            </w:r>
          </w:p>
        </w:tc>
        <w:tc>
          <w:tcPr>
            <w:tcW w:type="dxa" w:w="2016"/>
            <w:shd w:fill="FFFFFF"/>
            <w:tcMar>
              <w:top w:w="80" w:type="dxa"/>
              <w:bottom w:w="80" w:type="dxa"/>
              <w:left w:w="100" w:type="dxa"/>
              <w:right w:w="100" w:type="dxa"/>
            </w:tcMar>
          </w:tcPr>
          <w:p>
            <w:pPr>
              <w:spacing w:after="0"/>
            </w:pPr>
            <w:r>
              <w:rPr>
                <w:sz w:val="18"/>
              </w:rPr>
              <w:t>Payments</w:t>
            </w:r>
          </w:p>
        </w:tc>
        <w:tc>
          <w:tcPr>
            <w:tcW w:type="dxa" w:w="1728"/>
            <w:shd w:fill="FFFFFF"/>
            <w:tcMar>
              <w:top w:w="80" w:type="dxa"/>
              <w:bottom w:w="80" w:type="dxa"/>
              <w:left w:w="100" w:type="dxa"/>
              <w:right w:w="100" w:type="dxa"/>
            </w:tcMar>
          </w:tcPr>
          <w:p>
            <w:pPr>
              <w:spacing w:after="0"/>
            </w:pPr>
            <w:r>
              <w:rPr>
                <w:b/>
                <w:color w:val="059669"/>
                <w:sz w:val="18"/>
              </w:rPr>
              <w:t>ACTIVE</w:t>
            </w:r>
          </w:p>
        </w:tc>
        <w:tc>
          <w:tcPr>
            <w:tcW w:type="dxa" w:w="3744"/>
            <w:shd w:fill="FFFFFF"/>
            <w:tcMar>
              <w:top w:w="80" w:type="dxa"/>
              <w:bottom w:w="80" w:type="dxa"/>
              <w:left w:w="100" w:type="dxa"/>
              <w:right w:w="100" w:type="dxa"/>
            </w:tcMar>
          </w:tcPr>
          <w:p>
            <w:pPr>
              <w:spacing w:after="0"/>
            </w:pPr>
            <w:r>
              <w:rPr>
                <w:sz w:val="18"/>
              </w:rPr>
              <w:t>Extension watcher and backend parser are configured. Watches the described dashboard login OTP input and submits after filling.</w:t>
            </w:r>
          </w:p>
        </w:tc>
      </w:tr>
      <w:tr>
        <w:tc>
          <w:tcPr>
            <w:tcW w:type="dxa" w:w="2160"/>
            <w:shd w:fill="F8FAFC"/>
            <w:tcMar>
              <w:top w:w="80" w:type="dxa"/>
              <w:bottom w:w="80" w:type="dxa"/>
              <w:left w:w="100" w:type="dxa"/>
              <w:right w:w="100" w:type="dxa"/>
            </w:tcMar>
          </w:tcPr>
          <w:p>
            <w:pPr>
              <w:spacing w:after="0"/>
            </w:pPr>
            <w:r>
              <w:rPr>
                <w:b/>
                <w:sz w:val="18"/>
              </w:rPr>
              <w:t>Razorpay</w:t>
            </w:r>
          </w:p>
        </w:tc>
        <w:tc>
          <w:tcPr>
            <w:tcW w:type="dxa" w:w="2016"/>
            <w:shd w:fill="F8FAFC"/>
            <w:tcMar>
              <w:top w:w="80" w:type="dxa"/>
              <w:bottom w:w="80" w:type="dxa"/>
              <w:left w:w="100" w:type="dxa"/>
              <w:right w:w="100" w:type="dxa"/>
            </w:tcMar>
          </w:tcPr>
          <w:p>
            <w:pPr>
              <w:spacing w:after="0"/>
            </w:pPr>
            <w:r>
              <w:rPr>
                <w:sz w:val="18"/>
              </w:rPr>
              <w:t>Payments</w:t>
            </w:r>
          </w:p>
        </w:tc>
        <w:tc>
          <w:tcPr>
            <w:tcW w:type="dxa" w:w="1728"/>
            <w:shd w:fill="F8FAFC"/>
            <w:tcMar>
              <w:top w:w="80" w:type="dxa"/>
              <w:bottom w:w="80" w:type="dxa"/>
              <w:left w:w="100" w:type="dxa"/>
              <w:right w:w="100" w:type="dxa"/>
            </w:tcMar>
          </w:tcPr>
          <w:p>
            <w:pPr>
              <w:spacing w:after="0"/>
            </w:pPr>
            <w:r>
              <w:rPr>
                <w:b/>
                <w:color w:val="059669"/>
                <w:sz w:val="18"/>
              </w:rPr>
              <w:t>ACTIVE</w:t>
            </w:r>
          </w:p>
        </w:tc>
        <w:tc>
          <w:tcPr>
            <w:tcW w:type="dxa" w:w="3744"/>
            <w:shd w:fill="F8FAFC"/>
            <w:tcMar>
              <w:top w:w="80" w:type="dxa"/>
              <w:bottom w:w="80" w:type="dxa"/>
              <w:left w:w="100" w:type="dxa"/>
              <w:right w:w="100" w:type="dxa"/>
            </w:tcMar>
          </w:tcPr>
          <w:p>
            <w:pPr>
              <w:spacing w:after="0"/>
            </w:pPr>
            <w:r>
              <w:rPr>
                <w:sz w:val="18"/>
              </w:rPr>
              <w:t>Extension watcher and backend parser are configured. Handles six-digit segmented inputs on the described authentication flow.</w:t>
            </w:r>
          </w:p>
        </w:tc>
      </w:tr>
      <w:tr>
        <w:tc>
          <w:tcPr>
            <w:tcW w:type="dxa" w:w="2160"/>
            <w:shd w:fill="FFFFFF"/>
            <w:tcMar>
              <w:top w:w="80" w:type="dxa"/>
              <w:bottom w:w="80" w:type="dxa"/>
              <w:left w:w="100" w:type="dxa"/>
              <w:right w:w="100" w:type="dxa"/>
            </w:tcMar>
          </w:tcPr>
          <w:p>
            <w:pPr>
              <w:spacing w:after="0"/>
            </w:pPr>
            <w:r>
              <w:rPr>
                <w:b/>
                <w:sz w:val="18"/>
              </w:rPr>
              <w:t>GoDaddy</w:t>
            </w:r>
          </w:p>
        </w:tc>
        <w:tc>
          <w:tcPr>
            <w:tcW w:type="dxa" w:w="2016"/>
            <w:shd w:fill="FFFFFF"/>
            <w:tcMar>
              <w:top w:w="80" w:type="dxa"/>
              <w:bottom w:w="80" w:type="dxa"/>
              <w:left w:w="100" w:type="dxa"/>
              <w:right w:w="100" w:type="dxa"/>
            </w:tcMar>
          </w:tcPr>
          <w:p>
            <w:pPr>
              <w:spacing w:after="0"/>
            </w:pPr>
            <w:r>
              <w:rPr>
                <w:sz w:val="18"/>
              </w:rPr>
              <w:t>Domain &amp; hosting</w:t>
            </w:r>
          </w:p>
        </w:tc>
        <w:tc>
          <w:tcPr>
            <w:tcW w:type="dxa" w:w="1728"/>
            <w:shd w:fill="FFFFFF"/>
            <w:tcMar>
              <w:top w:w="80" w:type="dxa"/>
              <w:bottom w:w="80" w:type="dxa"/>
              <w:left w:w="100" w:type="dxa"/>
              <w:right w:w="100" w:type="dxa"/>
            </w:tcMar>
          </w:tcPr>
          <w:p>
            <w:pPr>
              <w:spacing w:after="0"/>
            </w:pPr>
            <w:r>
              <w:rPr>
                <w:b/>
                <w:color w:val="DC2626"/>
                <w:sz w:val="18"/>
              </w:rPr>
              <w:t>NOT ACTIVE</w:t>
            </w:r>
          </w:p>
        </w:tc>
        <w:tc>
          <w:tcPr>
            <w:tcW w:type="dxa" w:w="3744"/>
            <w:shd w:fill="FFFFFF"/>
            <w:tcMar>
              <w:top w:w="80" w:type="dxa"/>
              <w:bottom w:w="80" w:type="dxa"/>
              <w:left w:w="100" w:type="dxa"/>
              <w:right w:w="100" w:type="dxa"/>
            </w:tcMar>
          </w:tcPr>
          <w:p>
            <w:pPr>
              <w:spacing w:after="0"/>
            </w:pPr>
            <w:r>
              <w:rPr>
                <w:sz w:val="18"/>
              </w:rPr>
              <w:t>No extension OTP watcher is registered. Standard password autofill only; backend query rules are dormant.</w:t>
            </w:r>
          </w:p>
        </w:tc>
      </w:tr>
      <w:tr>
        <w:tc>
          <w:tcPr>
            <w:tcW w:type="dxa" w:w="2160"/>
            <w:shd w:fill="F8FAFC"/>
            <w:tcMar>
              <w:top w:w="80" w:type="dxa"/>
              <w:bottom w:w="80" w:type="dxa"/>
              <w:left w:w="100" w:type="dxa"/>
              <w:right w:w="100" w:type="dxa"/>
            </w:tcMar>
          </w:tcPr>
          <w:p>
            <w:pPr>
              <w:spacing w:after="0"/>
            </w:pPr>
            <w:r>
              <w:rPr>
                <w:b/>
                <w:sz w:val="18"/>
              </w:rPr>
              <w:t>GitHub</w:t>
            </w:r>
          </w:p>
        </w:tc>
        <w:tc>
          <w:tcPr>
            <w:tcW w:type="dxa" w:w="2016"/>
            <w:shd w:fill="F8FAFC"/>
            <w:tcMar>
              <w:top w:w="80" w:type="dxa"/>
              <w:bottom w:w="80" w:type="dxa"/>
              <w:left w:w="100" w:type="dxa"/>
              <w:right w:w="100" w:type="dxa"/>
            </w:tcMar>
          </w:tcPr>
          <w:p>
            <w:pPr>
              <w:spacing w:after="0"/>
            </w:pPr>
            <w:r>
              <w:rPr>
                <w:sz w:val="18"/>
              </w:rPr>
              <w:t>Development</w:t>
            </w:r>
          </w:p>
        </w:tc>
        <w:tc>
          <w:tcPr>
            <w:tcW w:type="dxa" w:w="1728"/>
            <w:shd w:fill="F8FAFC"/>
            <w:tcMar>
              <w:top w:w="80" w:type="dxa"/>
              <w:bottom w:w="80" w:type="dxa"/>
              <w:left w:w="100" w:type="dxa"/>
              <w:right w:w="100" w:type="dxa"/>
            </w:tcMar>
          </w:tcPr>
          <w:p>
            <w:pPr>
              <w:spacing w:after="0"/>
            </w:pPr>
            <w:r>
              <w:rPr>
                <w:b/>
                <w:color w:val="DC2626"/>
                <w:sz w:val="18"/>
              </w:rPr>
              <w:t>NOT ACTIVE</w:t>
            </w:r>
          </w:p>
        </w:tc>
        <w:tc>
          <w:tcPr>
            <w:tcW w:type="dxa" w:w="3744"/>
            <w:shd w:fill="F8FAFC"/>
            <w:tcMar>
              <w:top w:w="80" w:type="dxa"/>
              <w:bottom w:w="80" w:type="dxa"/>
              <w:left w:w="100" w:type="dxa"/>
              <w:right w:w="100" w:type="dxa"/>
            </w:tcMar>
          </w:tcPr>
          <w:p>
            <w:pPr>
              <w:spacing w:after="0"/>
            </w:pPr>
            <w:r>
              <w:rPr>
                <w:sz w:val="18"/>
              </w:rPr>
              <w:t>No extension OTP watcher is registered. Common verification routes may use TOTP authenticator apps or WebAuthn security keys.</w:t>
            </w:r>
          </w:p>
        </w:tc>
      </w:tr>
      <w:tr>
        <w:tc>
          <w:tcPr>
            <w:tcW w:type="dxa" w:w="2160"/>
            <w:shd w:fill="FFFFFF"/>
            <w:tcMar>
              <w:top w:w="80" w:type="dxa"/>
              <w:bottom w:w="80" w:type="dxa"/>
              <w:left w:w="100" w:type="dxa"/>
              <w:right w:w="100" w:type="dxa"/>
            </w:tcMar>
          </w:tcPr>
          <w:p>
            <w:pPr>
              <w:spacing w:after="0"/>
            </w:pPr>
            <w:r>
              <w:rPr>
                <w:b/>
                <w:sz w:val="18"/>
              </w:rPr>
              <w:t>Shopify</w:t>
            </w:r>
          </w:p>
        </w:tc>
        <w:tc>
          <w:tcPr>
            <w:tcW w:type="dxa" w:w="2016"/>
            <w:shd w:fill="FFFFFF"/>
            <w:tcMar>
              <w:top w:w="80" w:type="dxa"/>
              <w:bottom w:w="80" w:type="dxa"/>
              <w:left w:w="100" w:type="dxa"/>
              <w:right w:w="100" w:type="dxa"/>
            </w:tcMar>
          </w:tcPr>
          <w:p>
            <w:pPr>
              <w:spacing w:after="0"/>
            </w:pPr>
            <w:r>
              <w:rPr>
                <w:sz w:val="18"/>
              </w:rPr>
              <w:t>E-commerce</w:t>
            </w:r>
          </w:p>
        </w:tc>
        <w:tc>
          <w:tcPr>
            <w:tcW w:type="dxa" w:w="1728"/>
            <w:shd w:fill="FFFFFF"/>
            <w:tcMar>
              <w:top w:w="80" w:type="dxa"/>
              <w:bottom w:w="80" w:type="dxa"/>
              <w:left w:w="100" w:type="dxa"/>
              <w:right w:w="100" w:type="dxa"/>
            </w:tcMar>
          </w:tcPr>
          <w:p>
            <w:pPr>
              <w:spacing w:after="0"/>
            </w:pPr>
            <w:r>
              <w:rPr>
                <w:b/>
                <w:color w:val="DC2626"/>
                <w:sz w:val="18"/>
              </w:rPr>
              <w:t>NOT ACTIVE</w:t>
            </w:r>
          </w:p>
        </w:tc>
        <w:tc>
          <w:tcPr>
            <w:tcW w:type="dxa" w:w="3744"/>
            <w:shd w:fill="FFFFFF"/>
            <w:tcMar>
              <w:top w:w="80" w:type="dxa"/>
              <w:bottom w:w="80" w:type="dxa"/>
              <w:left w:w="100" w:type="dxa"/>
              <w:right w:w="100" w:type="dxa"/>
            </w:tcMar>
          </w:tcPr>
          <w:p>
            <w:pPr>
              <w:spacing w:after="0"/>
            </w:pPr>
            <w:r>
              <w:rPr>
                <w:sz w:val="18"/>
              </w:rPr>
              <w:t>No extension OTP watcher is registered. A backend pattern exists, but it is not connected to an active extension OTP watcher.</w:t>
            </w:r>
          </w:p>
        </w:tc>
      </w:tr>
      <w:tr>
        <w:tc>
          <w:tcPr>
            <w:tcW w:type="dxa" w:w="2160"/>
            <w:shd w:fill="F8FAFC"/>
            <w:tcMar>
              <w:top w:w="80" w:type="dxa"/>
              <w:bottom w:w="80" w:type="dxa"/>
              <w:left w:w="100" w:type="dxa"/>
              <w:right w:w="100" w:type="dxa"/>
            </w:tcMar>
          </w:tcPr>
          <w:p>
            <w:pPr>
              <w:spacing w:after="0"/>
            </w:pPr>
            <w:r>
              <w:rPr>
                <w:b/>
                <w:sz w:val="18"/>
              </w:rPr>
              <w:t>LinkedIn</w:t>
            </w:r>
          </w:p>
        </w:tc>
        <w:tc>
          <w:tcPr>
            <w:tcW w:type="dxa" w:w="2016"/>
            <w:shd w:fill="F8FAFC"/>
            <w:tcMar>
              <w:top w:w="80" w:type="dxa"/>
              <w:bottom w:w="80" w:type="dxa"/>
              <w:left w:w="100" w:type="dxa"/>
              <w:right w:w="100" w:type="dxa"/>
            </w:tcMar>
          </w:tcPr>
          <w:p>
            <w:pPr>
              <w:spacing w:after="0"/>
            </w:pPr>
            <w:r>
              <w:rPr>
                <w:sz w:val="18"/>
              </w:rPr>
              <w:t>Social &amp; business</w:t>
            </w:r>
          </w:p>
        </w:tc>
        <w:tc>
          <w:tcPr>
            <w:tcW w:type="dxa" w:w="1728"/>
            <w:shd w:fill="F8FAFC"/>
            <w:tcMar>
              <w:top w:w="80" w:type="dxa"/>
              <w:bottom w:w="80" w:type="dxa"/>
              <w:left w:w="100" w:type="dxa"/>
              <w:right w:w="100" w:type="dxa"/>
            </w:tcMar>
          </w:tcPr>
          <w:p>
            <w:pPr>
              <w:spacing w:after="0"/>
            </w:pPr>
            <w:r>
              <w:rPr>
                <w:b/>
                <w:color w:val="DC2626"/>
                <w:sz w:val="18"/>
              </w:rPr>
              <w:t>NOT ACTIVE</w:t>
            </w:r>
          </w:p>
        </w:tc>
        <w:tc>
          <w:tcPr>
            <w:tcW w:type="dxa" w:w="3744"/>
            <w:shd w:fill="F8FAFC"/>
            <w:tcMar>
              <w:top w:w="80" w:type="dxa"/>
              <w:bottom w:w="80" w:type="dxa"/>
              <w:left w:w="100" w:type="dxa"/>
              <w:right w:w="100" w:type="dxa"/>
            </w:tcMar>
          </w:tcPr>
          <w:p>
            <w:pPr>
              <w:spacing w:after="0"/>
            </w:pPr>
            <w:r>
              <w:rPr>
                <w:sz w:val="18"/>
              </w:rPr>
              <w:t>No extension OTP watcher is registered. A backend pattern exists, but it is not connected to an active extension OTP watcher.</w:t>
            </w:r>
          </w:p>
        </w:tc>
      </w:tr>
      <w:tr>
        <w:tc>
          <w:tcPr>
            <w:tcW w:type="dxa" w:w="2160"/>
            <w:shd w:fill="FFFFFF"/>
            <w:tcMar>
              <w:top w:w="80" w:type="dxa"/>
              <w:bottom w:w="80" w:type="dxa"/>
              <w:left w:w="100" w:type="dxa"/>
              <w:right w:w="100" w:type="dxa"/>
            </w:tcMar>
          </w:tcPr>
          <w:p>
            <w:pPr>
              <w:spacing w:after="0"/>
            </w:pPr>
            <w:r>
              <w:rPr>
                <w:b/>
                <w:sz w:val="18"/>
              </w:rPr>
              <w:t>Gmail / Google login</w:t>
            </w:r>
          </w:p>
        </w:tc>
        <w:tc>
          <w:tcPr>
            <w:tcW w:type="dxa" w:w="2016"/>
            <w:shd w:fill="FFFFFF"/>
            <w:tcMar>
              <w:top w:w="80" w:type="dxa"/>
              <w:bottom w:w="80" w:type="dxa"/>
              <w:left w:w="100" w:type="dxa"/>
              <w:right w:w="100" w:type="dxa"/>
            </w:tcMar>
          </w:tcPr>
          <w:p>
            <w:pPr>
              <w:spacing w:after="0"/>
            </w:pPr>
            <w:r>
              <w:rPr>
                <w:sz w:val="18"/>
              </w:rPr>
              <w:t>Email &amp; productivity</w:t>
            </w:r>
          </w:p>
        </w:tc>
        <w:tc>
          <w:tcPr>
            <w:tcW w:type="dxa" w:w="1728"/>
            <w:shd w:fill="FFFFFF"/>
            <w:tcMar>
              <w:top w:w="80" w:type="dxa"/>
              <w:bottom w:w="80" w:type="dxa"/>
              <w:left w:w="100" w:type="dxa"/>
              <w:right w:w="100" w:type="dxa"/>
            </w:tcMar>
          </w:tcPr>
          <w:p>
            <w:pPr>
              <w:spacing w:after="0"/>
            </w:pPr>
            <w:r>
              <w:rPr>
                <w:b/>
                <w:color w:val="DC2626"/>
                <w:sz w:val="18"/>
              </w:rPr>
              <w:t>NOT ACTIVE</w:t>
            </w:r>
          </w:p>
        </w:tc>
        <w:tc>
          <w:tcPr>
            <w:tcW w:type="dxa" w:w="3744"/>
            <w:shd w:fill="FFFFFF"/>
            <w:tcMar>
              <w:top w:w="80" w:type="dxa"/>
              <w:bottom w:w="80" w:type="dxa"/>
              <w:left w:w="100" w:type="dxa"/>
              <w:right w:w="100" w:type="dxa"/>
            </w:tcMar>
          </w:tcPr>
          <w:p>
            <w:pPr>
              <w:spacing w:after="0"/>
            </w:pPr>
            <w:r>
              <w:rPr>
                <w:sz w:val="18"/>
              </w:rPr>
              <w:t>No OTP watcher is configured for this login flow. Using the same inbox to retrieve a login challenge can also create a circular dependency.</w:t>
            </w:r>
          </w:p>
        </w:tc>
      </w:tr>
      <w:tr>
        <w:tc>
          <w:tcPr>
            <w:tcW w:type="dxa" w:w="2160"/>
            <w:shd w:fill="F8FAFC"/>
            <w:tcMar>
              <w:top w:w="80" w:type="dxa"/>
              <w:bottom w:w="80" w:type="dxa"/>
              <w:left w:w="100" w:type="dxa"/>
              <w:right w:w="100" w:type="dxa"/>
            </w:tcMar>
          </w:tcPr>
          <w:p>
            <w:pPr>
              <w:spacing w:after="0"/>
            </w:pPr>
            <w:r>
              <w:rPr>
                <w:b/>
                <w:sz w:val="18"/>
              </w:rPr>
              <w:t>GST Portal</w:t>
            </w:r>
          </w:p>
        </w:tc>
        <w:tc>
          <w:tcPr>
            <w:tcW w:type="dxa" w:w="2016"/>
            <w:shd w:fill="F8FAFC"/>
            <w:tcMar>
              <w:top w:w="80" w:type="dxa"/>
              <w:bottom w:w="80" w:type="dxa"/>
              <w:left w:w="100" w:type="dxa"/>
              <w:right w:w="100" w:type="dxa"/>
            </w:tcMar>
          </w:tcPr>
          <w:p>
            <w:pPr>
              <w:spacing w:after="0"/>
            </w:pPr>
            <w:r>
              <w:rPr>
                <w:sz w:val="18"/>
              </w:rPr>
              <w:t>Indian government</w:t>
            </w:r>
          </w:p>
        </w:tc>
        <w:tc>
          <w:tcPr>
            <w:tcW w:type="dxa" w:w="1728"/>
            <w:shd w:fill="F8FAFC"/>
            <w:tcMar>
              <w:top w:w="80" w:type="dxa"/>
              <w:bottom w:w="80" w:type="dxa"/>
              <w:left w:w="100" w:type="dxa"/>
              <w:right w:w="100" w:type="dxa"/>
            </w:tcMar>
          </w:tcPr>
          <w:p>
            <w:pPr>
              <w:spacing w:after="0"/>
            </w:pPr>
            <w:r>
              <w:rPr>
                <w:b/>
                <w:color w:val="DC2626"/>
                <w:sz w:val="18"/>
              </w:rPr>
              <w:t>NOT ACTIVE</w:t>
            </w:r>
          </w:p>
        </w:tc>
        <w:tc>
          <w:tcPr>
            <w:tcW w:type="dxa" w:w="3744"/>
            <w:shd w:fill="F8FAFC"/>
            <w:tcMar>
              <w:top w:w="80" w:type="dxa"/>
              <w:bottom w:w="80" w:type="dxa"/>
              <w:left w:w="100" w:type="dxa"/>
              <w:right w:w="100" w:type="dxa"/>
            </w:tcMar>
          </w:tcPr>
          <w:p>
            <w:pPr>
              <w:spacing w:after="0"/>
            </w:pPr>
            <w:r>
              <w:rPr>
                <w:sz w:val="18"/>
              </w:rPr>
              <w:t>Described flow uses mobile SMS OTP and a visual CAPTCHA; handled as a manual step.</w:t>
            </w:r>
          </w:p>
        </w:tc>
      </w:tr>
      <w:tr>
        <w:tc>
          <w:tcPr>
            <w:tcW w:type="dxa" w:w="2160"/>
            <w:shd w:fill="FFFFFF"/>
            <w:tcMar>
              <w:top w:w="80" w:type="dxa"/>
              <w:bottom w:w="80" w:type="dxa"/>
              <w:left w:w="100" w:type="dxa"/>
              <w:right w:w="100" w:type="dxa"/>
            </w:tcMar>
          </w:tcPr>
          <w:p>
            <w:pPr>
              <w:spacing w:after="0"/>
            </w:pPr>
            <w:r>
              <w:rPr>
                <w:b/>
                <w:sz w:val="18"/>
              </w:rPr>
              <w:t>MCA Portal</w:t>
            </w:r>
          </w:p>
        </w:tc>
        <w:tc>
          <w:tcPr>
            <w:tcW w:type="dxa" w:w="2016"/>
            <w:shd w:fill="FFFFFF"/>
            <w:tcMar>
              <w:top w:w="80" w:type="dxa"/>
              <w:bottom w:w="80" w:type="dxa"/>
              <w:left w:w="100" w:type="dxa"/>
              <w:right w:w="100" w:type="dxa"/>
            </w:tcMar>
          </w:tcPr>
          <w:p>
            <w:pPr>
              <w:spacing w:after="0"/>
            </w:pPr>
            <w:r>
              <w:rPr>
                <w:sz w:val="18"/>
              </w:rPr>
              <w:t>Indian government</w:t>
            </w:r>
          </w:p>
        </w:tc>
        <w:tc>
          <w:tcPr>
            <w:tcW w:type="dxa" w:w="1728"/>
            <w:shd w:fill="FFFFFF"/>
            <w:tcMar>
              <w:top w:w="80" w:type="dxa"/>
              <w:bottom w:w="80" w:type="dxa"/>
              <w:left w:w="100" w:type="dxa"/>
              <w:right w:w="100" w:type="dxa"/>
            </w:tcMar>
          </w:tcPr>
          <w:p>
            <w:pPr>
              <w:spacing w:after="0"/>
            </w:pPr>
            <w:r>
              <w:rPr>
                <w:b/>
                <w:color w:val="DC2626"/>
                <w:sz w:val="18"/>
              </w:rPr>
              <w:t>NOT ACTIVE</w:t>
            </w:r>
          </w:p>
        </w:tc>
        <w:tc>
          <w:tcPr>
            <w:tcW w:type="dxa" w:w="3744"/>
            <w:shd w:fill="FFFFFF"/>
            <w:tcMar>
              <w:top w:w="80" w:type="dxa"/>
              <w:bottom w:w="80" w:type="dxa"/>
              <w:left w:w="100" w:type="dxa"/>
              <w:right w:w="100" w:type="dxa"/>
            </w:tcMar>
          </w:tcPr>
          <w:p>
            <w:pPr>
              <w:spacing w:after="0"/>
            </w:pPr>
            <w:r>
              <w:rPr>
                <w:sz w:val="18"/>
              </w:rPr>
              <w:t>Described flow uses mobile SMS OTP and a visual CAPTCHA; handled as a manual step.</w:t>
            </w:r>
          </w:p>
        </w:tc>
      </w:tr>
      <w:tr>
        <w:tc>
          <w:tcPr>
            <w:tcW w:type="dxa" w:w="2160"/>
            <w:shd w:fill="F8FAFC"/>
            <w:tcMar>
              <w:top w:w="80" w:type="dxa"/>
              <w:bottom w:w="80" w:type="dxa"/>
              <w:left w:w="100" w:type="dxa"/>
              <w:right w:w="100" w:type="dxa"/>
            </w:tcMar>
          </w:tcPr>
          <w:p>
            <w:pPr>
              <w:spacing w:after="0"/>
            </w:pPr>
            <w:r>
              <w:rPr>
                <w:b/>
                <w:sz w:val="18"/>
              </w:rPr>
              <w:t>Udyam Portal</w:t>
            </w:r>
          </w:p>
        </w:tc>
        <w:tc>
          <w:tcPr>
            <w:tcW w:type="dxa" w:w="2016"/>
            <w:shd w:fill="F8FAFC"/>
            <w:tcMar>
              <w:top w:w="80" w:type="dxa"/>
              <w:bottom w:w="80" w:type="dxa"/>
              <w:left w:w="100" w:type="dxa"/>
              <w:right w:w="100" w:type="dxa"/>
            </w:tcMar>
          </w:tcPr>
          <w:p>
            <w:pPr>
              <w:spacing w:after="0"/>
            </w:pPr>
            <w:r>
              <w:rPr>
                <w:sz w:val="18"/>
              </w:rPr>
              <w:t>Indian government</w:t>
            </w:r>
          </w:p>
        </w:tc>
        <w:tc>
          <w:tcPr>
            <w:tcW w:type="dxa" w:w="1728"/>
            <w:shd w:fill="F8FAFC"/>
            <w:tcMar>
              <w:top w:w="80" w:type="dxa"/>
              <w:bottom w:w="80" w:type="dxa"/>
              <w:left w:w="100" w:type="dxa"/>
              <w:right w:w="100" w:type="dxa"/>
            </w:tcMar>
          </w:tcPr>
          <w:p>
            <w:pPr>
              <w:spacing w:after="0"/>
            </w:pPr>
            <w:r>
              <w:rPr>
                <w:b/>
                <w:color w:val="DC2626"/>
                <w:sz w:val="18"/>
              </w:rPr>
              <w:t>NOT ACTIVE</w:t>
            </w:r>
          </w:p>
        </w:tc>
        <w:tc>
          <w:tcPr>
            <w:tcW w:type="dxa" w:w="3744"/>
            <w:shd w:fill="F8FAFC"/>
            <w:tcMar>
              <w:top w:w="80" w:type="dxa"/>
              <w:bottom w:w="80" w:type="dxa"/>
              <w:left w:w="100" w:type="dxa"/>
              <w:right w:w="100" w:type="dxa"/>
            </w:tcMar>
          </w:tcPr>
          <w:p>
            <w:pPr>
              <w:spacing w:after="0"/>
            </w:pPr>
            <w:r>
              <w:rPr>
                <w:sz w:val="18"/>
              </w:rPr>
              <w:t>Described flow uses a registration number and SMS OTP to the registered mobile; handled as a manual step.</w:t>
            </w:r>
          </w:p>
        </w:tc>
      </w:tr>
    </w:tbl>
    <w:p>
      <w:pPr>
        <w:spacing w:after="120"/>
      </w:pPr>
    </w:p>
    <w:p>
      <w:r>
        <w:rPr>
          <w:i/>
          <w:color w:val="64748B"/>
        </w:rPr>
        <w:t>Important distinction: a backend regex or sender query can exist without making the user-facing feature active. If the extension platform registry does not declare the OTP configuration, the watcher does not initialize for that platform.</w:t>
      </w:r>
    </w:p>
    <w:p>
      <w:pPr>
        <w:keepNext/>
        <w:spacing w:before="320" w:after="120"/>
      </w:pPr>
      <w:r>
        <w:rPr>
          <w:b/>
          <w:color w:val="0F172A"/>
          <w:sz w:val="28"/>
        </w:rPr>
        <w:t>5. Why Some Platforms Require Manual Verification</w:t>
      </w:r>
    </w:p>
    <w:p>
      <w:pPr>
        <w:keepNext/>
        <w:spacing w:before="200" w:after="80"/>
      </w:pPr>
      <w:r>
        <w:rPr>
          <w:b/>
          <w:color w:val="1E293B"/>
          <w:sz w:val="23"/>
        </w:rPr>
        <w:t>Cellular SMS and visual CAPTCHA (GST, MCA, Udyam)</w:t>
      </w:r>
    </w:p>
    <w:p>
      <w:pPr>
        <w:pStyle w:val="ListBullet"/>
        <w:spacing w:after="80"/>
      </w:pPr>
      <w:r>
        <w:rPr>
          <w:b/>
          <w:color w:val="0F172A"/>
        </w:rPr>
        <w:t xml:space="preserve">Cellular network delivery: </w:t>
      </w:r>
      <w:r>
        <w:rPr>
          <w:color w:val="334155"/>
        </w:rPr>
        <w:t>The source report describes these portals as sending verification codes over cellular networks to a registered physical SIM, rather than to an email inbox.</w:t>
      </w:r>
    </w:p>
    <w:p>
      <w:pPr>
        <w:pStyle w:val="ListBullet"/>
        <w:spacing w:after="80"/>
      </w:pPr>
      <w:r>
        <w:rPr>
          <w:b/>
          <w:color w:val="0F172A"/>
        </w:rPr>
        <w:t xml:space="preserve">Pipeline limitation: </w:t>
      </w:r>
      <w:r>
        <w:rPr>
          <w:color w:val="334155"/>
        </w:rPr>
        <w:t>The current extraction pipeline uses the Gmail REST API and does not include a telecom gateway or SMS-forwarding hardware integration.</w:t>
      </w:r>
    </w:p>
    <w:p>
      <w:pPr>
        <w:pStyle w:val="ListBullet"/>
        <w:spacing w:after="80"/>
      </w:pPr>
      <w:r>
        <w:rPr>
          <w:b/>
          <w:color w:val="0F172A"/>
        </w:rPr>
        <w:t xml:space="preserve">Human verification: </w:t>
      </w:r>
      <w:r>
        <w:rPr>
          <w:color w:val="334155"/>
        </w:rPr>
        <w:t>These flows also include visual CAPTCHA or human-verification steps. WITHUS therefore fills the available credentials, pauses, and asks the user to complete the verification step. The source references this behavior as manual_step in the super-admin service.</w:t>
      </w:r>
    </w:p>
    <w:p>
      <w:pPr>
        <w:keepNext/>
        <w:spacing w:before="200" w:after="80"/>
      </w:pPr>
      <w:r>
        <w:rPr>
          <w:b/>
          <w:color w:val="1E293B"/>
          <w:sz w:val="23"/>
        </w:rPr>
        <w:t>TOTP and hardware-backed verification (GitHub)</w:t>
      </w:r>
    </w:p>
    <w:p>
      <w:pPr>
        <w:pStyle w:val="ListBullet"/>
        <w:spacing w:after="80"/>
      </w:pPr>
      <w:r>
        <w:rPr>
          <w:b/>
          <w:color w:val="0F172A"/>
        </w:rPr>
        <w:t xml:space="preserve">Authenticator app reliance: </w:t>
      </w:r>
      <w:r>
        <w:rPr>
          <w:color w:val="334155"/>
        </w:rPr>
        <w:t>Time-based one-time passwords (TOTP), standardized in RFC 6238, are generated by an authenticator app rather than delivered as an email message. WebAuthn can involve a security key or device-based verification.</w:t>
      </w:r>
    </w:p>
    <w:p>
      <w:pPr>
        <w:pStyle w:val="ListBullet"/>
        <w:spacing w:after="80"/>
      </w:pPr>
      <w:r>
        <w:rPr>
          <w:b/>
          <w:color w:val="0F172A"/>
        </w:rPr>
        <w:t xml:space="preserve">GitHub reality: </w:t>
      </w:r>
      <w:r>
        <w:rPr>
          <w:color w:val="334155"/>
        </w:rPr>
        <w:t>The source report notes that GitHub may sometimes send email codes for unfamiliar browser contexts, but the described extension does not have an active OTP DOM watcher for GitHub. It should therefore not be represented as automated OTP autofill.</w:t>
      </w:r>
    </w:p>
    <w:p>
      <w:pPr>
        <w:keepNext/>
        <w:spacing w:before="200" w:after="80"/>
      </w:pPr>
      <w:r>
        <w:rPr>
          <w:b/>
          <w:color w:val="1E293B"/>
          <w:sz w:val="23"/>
        </w:rPr>
        <w:t>Dormant backend patterns versus active end-to-end support</w:t>
      </w:r>
    </w:p>
    <w:p>
      <w:pPr>
        <w:pStyle w:val="ListBullet"/>
        <w:spacing w:after="80"/>
      </w:pPr>
      <w:r>
        <w:rPr>
          <w:b/>
          <w:color w:val="0F172A"/>
        </w:rPr>
        <w:t xml:space="preserve">Dual-sided prerequisite: </w:t>
      </w:r>
      <w:r>
        <w:rPr>
          <w:color w:val="334155"/>
        </w:rPr>
        <w:t>End-to-end automation requires both a platform configuration in platform-registry.ts with an otp input selector / watcher definition and a matching backend query/pattern.</w:t>
      </w:r>
    </w:p>
    <w:p>
      <w:pPr>
        <w:pStyle w:val="ListBullet"/>
        <w:spacing w:after="80"/>
      </w:pPr>
      <w:r>
        <w:rPr>
          <w:b/>
          <w:color w:val="0F172A"/>
        </w:rPr>
        <w:t xml:space="preserve">Parser vs Feature: </w:t>
      </w:r>
      <w:r>
        <w:rPr>
          <w:color w:val="334155"/>
        </w:rPr>
        <w:t>A parser rule by itself is not proof of a working user-facing feature. Without the extension watcher, the watcher does not initialize, background polling does not start, and the OTP endpoint is not invoked through that platform's autofill flow.</w:t>
      </w:r>
    </w:p>
    <w:p>
      <w:pPr>
        <w:keepNext/>
        <w:spacing w:before="320" w:after="120"/>
      </w:pPr>
      <w:r>
        <w:rPr>
          <w:b/>
          <w:color w:val="0F172A"/>
          <w:sz w:val="28"/>
        </w:rPr>
        <w:t>6. Questions &amp; Answers</w:t>
      </w:r>
    </w:p>
    <w:p>
      <w:r>
        <w:t>This section provides concise, client-ready answers to the questions raised about OTP selection, email-provider support, and why automated autofill is not enabled for every platform.</w:t>
      </w:r>
    </w:p>
    <w:p>
      <w:pPr>
        <w:keepNext/>
        <w:spacing w:before="200" w:after="80"/>
      </w:pPr>
      <w:r>
        <w:rPr>
          <w:b/>
          <w:color w:val="1E293B"/>
          <w:sz w:val="23"/>
        </w:rPr>
        <w:t>Q1. How does WITHUS identify the correct OTP if multiple OTP emails arrive at the same time?</w:t>
      </w:r>
    </w:p>
    <w:p>
      <w:r>
        <w:t>WITHUS does not select a code based on its length alone. For a platform with an active integration, the backend narrows the Gmail search using a recent-message window and a platform-specific sender-domain filter. It then checks the message timestamp against loginStartTime (with the documented 15-second clock-skew buffer) and applies the vendor-specific OTP_PATTERNS. The backend returns only the extracted OTP to the extension, which fills the configured input field.</w:t>
        <w:br/>
        <w:br/>
        <w:t>Example: when the active integration is Stripe, the query filters for messages from stripe.com. A banking email from another sender is not a candidate for that platform-specific search.</w:t>
        <w:br/>
        <w:br/>
        <w:t>The format pattern helps locate the code within the expected email template; it does not, by itself, prove the sender is authentic or distinguish two six-digit codes.</w:t>
      </w:r>
    </w:p>
    <w:p>
      <w:pPr>
        <w:keepNext/>
        <w:spacing w:before="200" w:after="80"/>
      </w:pPr>
      <w:r>
        <w:rPr>
          <w:b/>
          <w:color w:val="1E293B"/>
          <w:sz w:val="23"/>
        </w:rPr>
        <w:t>Q2. Does the current implementation support Gmail only, or Outlook and other email providers too?</w:t>
      </w:r>
    </w:p>
    <w:p>
      <w:r>
        <w:t>The supplied implementation notes identify Gmail and Google Workspace as supported through OAuth 2.0 and the Gmail REST API, scoped to gmail.readonly. Outlook / Office 365, direct IMAP / POP3 connections, and other custom email-provider integrations are not implemented in the current release. Supporting them would require separate provider-specific authentication and message-retrieval integrations.</w:t>
      </w:r>
    </w:p>
    <w:p>
      <w:pPr>
        <w:keepNext/>
        <w:spacing w:before="200" w:after="80"/>
      </w:pPr>
      <w:r>
        <w:rPr>
          <w:b/>
          <w:color w:val="1E293B"/>
          <w:sz w:val="23"/>
        </w:rPr>
        <w:t>Q3. Why is automated OTP autofill not enabled for the other platforms?</w:t>
      </w:r>
    </w:p>
    <w:p>
      <w:r>
        <w:t>End-to-end autofill requires both an extension-side OTP watcher/input selector in platform-registry.ts and matching backend sender-query and extraction-pattern logic. Some platforms have backend patterns but no active extension watcher, so the complete user-facing flow is not enabled.</w:t>
        <w:br/>
        <w:t>• GoDaddy, GitHub, Shopify, LinkedIn, and Gmail / Google login are not active end-to-end OTP autofill integrations in the supplied implementation notes.</w:t>
        <w:br/>
        <w:t>• The described GST and MCA flows require SMS OTP and visual CAPTCHA; the described Udyam flow uses a registered-mobile SMS OTP. The Gmail-based pipeline cannot retrieve those SMS codes, so the user completes the verification step.</w:t>
        <w:br/>
        <w:t>• GitHub may use TOTP authenticator codes or WebAuthn/security keys, which are different from email OTP extraction.</w:t>
      </w:r>
    </w:p>
    <w:p>
      <w:pPr>
        <w:keepNext/>
        <w:spacing w:before="320" w:after="120"/>
      </w:pPr>
      <w:r>
        <w:rPr>
          <w:b/>
          <w:color w:val="0F172A"/>
          <w:sz w:val="28"/>
        </w:rPr>
        <w:t>Summary</w:t>
      </w:r>
    </w:p>
    <w:p>
      <w:r>
        <w:t>WITHUS currently supports automated email OTP autofill for Vercel, Stripe, and Razorpay through Gmail or Google Workspace. The backend uses platform-specific sender filtering, timestamp validation, and vendor-specific OTP patterns before returning only the extracted code to the extension. Other platforms may require manual verification or a future integration, depending on their authentication method. Outlook / Office 365 is not supported in the current release.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