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102542"/>
          <w:sz w:val="36"/>
        </w:rPr>
        <w:t>IILM UNIVERSITY, GREATER NOIDA</w:t>
      </w:r>
    </w:p>
    <w:p>
      <w:pPr>
        <w:spacing w:after="480"/>
        <w:jc w:val="center"/>
      </w:pPr>
      <w:r>
        <w:rPr>
          <w:rFonts w:ascii="Times New Roman" w:hAnsi="Times New Roman"/>
          <w:b w:val="0"/>
          <w:i/>
          <w:color w:val="505050"/>
          <w:sz w:val="22"/>
        </w:rPr>
        <w:t>Department of Computer Science &amp; Engineering / School of Management</w:t>
        <w:br/>
        <w:t>Plot No. 16-18, Knowledge Park II, Greater Noida, Uttar Pradesh 201306</w:t>
      </w:r>
    </w:p>
    <w:p>
      <w:pPr>
        <w:spacing w:after="160"/>
        <w:jc w:val="center"/>
      </w:pPr>
      <w:r>
        <w:rPr>
          <w:rFonts w:ascii="Times New Roman" w:hAnsi="Times New Roman"/>
          <w:b/>
          <w:i w:val="0"/>
          <w:color w:val="5A5A5A"/>
          <w:sz w:val="24"/>
        </w:rPr>
        <w:t>A SUMMER INTERNSHIP REPORT ON</w:t>
      </w:r>
    </w:p>
    <w:p>
      <w:pPr>
        <w:spacing w:after="240"/>
        <w:jc w:val="center"/>
      </w:pPr>
      <w:r>
        <w:rPr>
          <w:rFonts w:ascii="Times New Roman" w:hAnsi="Times New Roman"/>
          <w:b/>
          <w:i w:val="0"/>
          <w:color w:val="182B49"/>
          <w:sz w:val="32"/>
        </w:rPr>
        <w:t>“STRATEGIC SOCIAL MEDIA MANAGEMENT &amp; DIGITAL BRAND ENGAGEMENT AT FOKUSZY”</w:t>
      </w:r>
    </w:p>
    <w:p>
      <w:pPr>
        <w:spacing w:after="720"/>
        <w:jc w:val="center"/>
      </w:pPr>
      <w:r>
        <w:rPr>
          <w:rFonts w:ascii="Times New Roman" w:hAnsi="Times New Roman"/>
          <w:b w:val="0"/>
          <w:i/>
          <w:sz w:val="22"/>
        </w:rPr>
        <w:t>Submitted in partial fulfillment of the requirements for the award of the degree of</w:t>
        <w:br/>
        <w:t>Bachelor of Technology / Bachelor of Business Administration</w:t>
      </w:r>
    </w:p>
    <w:tbl>
      <w:tblPr>
        <w:tblW w:type="auto" w:w="0"/>
        <w:jc w:val="center"/>
        <w:tblLayout w:type="fixed"/>
        <w:tblLook w:firstColumn="1" w:firstRow="1" w:lastColumn="0" w:lastRow="0" w:noHBand="0" w:noVBand="1" w:val="04A0"/>
      </w:tblPr>
      <w:tblGrid>
        <w:gridCol w:w="4608"/>
        <w:gridCol w:w="4608"/>
      </w:tblGrid>
      <w:tr>
        <w:tc>
          <w:tcPr>
            <w:tcW w:type="dxa" w:w="4500"/>
          </w:tcPr>
          <w:p>
            <w:pPr>
              <w:spacing w:after="80"/>
            </w:pPr>
            <w:r>
              <w:rPr>
                <w:rFonts w:ascii="Times New Roman" w:hAnsi="Times New Roman"/>
                <w:b/>
                <w:i w:val="0"/>
                <w:sz w:val="22"/>
              </w:rPr>
              <w:t>Submitted By:</w:t>
              <w:br/>
            </w:r>
            <w:r>
              <w:rPr>
                <w:rFonts w:ascii="Times New Roman" w:hAnsi="Times New Roman"/>
                <w:b w:val="0"/>
                <w:i w:val="0"/>
                <w:sz w:val="22"/>
              </w:rPr>
              <w:t>Student Name: _____________________</w:t>
              <w:br/>
              <w:t>Roll Number: ______________________</w:t>
              <w:br/>
              <w:t>Enrollment No.: ___________________</w:t>
              <w:br/>
              <w:t>Semester / Branch: ________________</w:t>
            </w:r>
          </w:p>
        </w:tc>
        <w:tc>
          <w:tcPr>
            <w:tcW w:type="dxa" w:w="4500"/>
          </w:tcPr>
          <w:p>
            <w:pPr>
              <w:spacing w:after="80"/>
            </w:pPr>
            <w:r>
              <w:rPr>
                <w:rFonts w:ascii="Times New Roman" w:hAnsi="Times New Roman"/>
                <w:b/>
                <w:i w:val="0"/>
                <w:sz w:val="22"/>
              </w:rPr>
              <w:t>Under the Mentorship of:</w:t>
              <w:br/>
            </w:r>
            <w:r>
              <w:rPr>
                <w:rFonts w:ascii="Times New Roman" w:hAnsi="Times New Roman"/>
                <w:b w:val="0"/>
                <w:i w:val="0"/>
                <w:sz w:val="22"/>
              </w:rPr>
              <w:t>Faculty Guide: ____________________</w:t>
              <w:br/>
              <w:t>Designation: Assistant Professor</w:t>
              <w:br/>
              <w:t>Department: ______________________</w:t>
              <w:br/>
              <w:t>IILM University, Greater Noida</w:t>
            </w:r>
          </w:p>
        </w:tc>
      </w:tr>
    </w:tbl>
    <w:p>
      <w:pPr>
        <w:spacing w:before="720" w:after="40"/>
        <w:jc w:val="center"/>
      </w:pPr>
      <w:r>
        <w:rPr>
          <w:rFonts w:ascii="Times New Roman" w:hAnsi="Times New Roman"/>
          <w:b/>
          <w:i w:val="0"/>
          <w:sz w:val="22"/>
        </w:rPr>
        <w:t>Host Organisation:</w:t>
        <w:br/>
      </w:r>
      <w:r>
        <w:rPr>
          <w:rFonts w:ascii="Times New Roman" w:hAnsi="Times New Roman"/>
          <w:b w:val="0"/>
          <w:i w:val="0"/>
          <w:sz w:val="22"/>
        </w:rPr>
        <w:t>Fokuszy (Fokuszy.in)</w:t>
        <w:br/>
        <w:t>Duration: 15 June 2026 – 15 July 2026</w:t>
        <w:br/>
        <w:br/>
        <w:t>Academic Session: 2025–2026</w:t>
      </w:r>
    </w:p>
    <w:p>
      <w:r>
        <w:br w:type="page"/>
      </w:r>
    </w:p>
    <w:p>
      <w:pPr>
        <w:keepNext/>
        <w:spacing w:before="320" w:after="160"/>
      </w:pPr>
      <w:r>
        <w:rPr>
          <w:rFonts w:ascii="Times New Roman" w:hAnsi="Times New Roman"/>
          <w:b/>
          <w:i w:val="0"/>
          <w:color w:val="182B49"/>
          <w:sz w:val="30"/>
        </w:rPr>
        <w:t>DECLARATION</w:t>
      </w:r>
    </w:p>
    <w:p>
      <w:pPr>
        <w:spacing w:after="120" w:line="276" w:lineRule="auto"/>
      </w:pPr>
      <w:r>
        <w:rPr>
          <w:rFonts w:ascii="Times New Roman" w:hAnsi="Times New Roman"/>
          <w:b w:val="0"/>
          <w:i w:val="0"/>
          <w:sz w:val="24"/>
        </w:rPr>
        <w:t>I hereby declare that the internship report entitled “Strategic Social Media Management &amp; Digital Brand Engagement at Fokuszy”, submitted to IILM University, Greater Noida, is an authentic record of independent and original work carried out by me during the period from 15 June 2026 to 15 July 2026 under the direct supervision and guidance of the mentor and authorities at Fokuszy (Fokuszy.in).</w:t>
      </w:r>
    </w:p>
    <w:p>
      <w:pPr>
        <w:spacing w:after="120" w:line="276" w:lineRule="auto"/>
      </w:pPr>
      <w:r>
        <w:rPr>
          <w:rFonts w:ascii="Times New Roman" w:hAnsi="Times New Roman"/>
          <w:b w:val="0"/>
          <w:i w:val="0"/>
          <w:sz w:val="24"/>
        </w:rPr>
        <w:t>I further declare that the matter, data, and analysis embodied in this project report have not been submitted by me or any other candidate for the award of any other degree, diploma, associate-ship, or fellowship at this or any other University or Institution of higher learning.</w:t>
      </w:r>
    </w:p>
    <w:p>
      <w:pPr>
        <w:spacing w:before="600" w:after="80"/>
      </w:pPr>
      <w:r>
        <w:rPr>
          <w:rFonts w:ascii="Times New Roman" w:hAnsi="Times New Roman"/>
          <w:b w:val="0"/>
          <w:i w:val="0"/>
          <w:sz w:val="22"/>
        </w:rPr>
        <w:t>Date: _________________________</w:t>
        <w:br/>
        <w:t>Place: Greater Noida</w:t>
        <w:br/>
        <w:br/>
        <w:br/>
        <w:t>_____________________________________</w:t>
        <w:br/>
        <w:t>Signature of the Student</w:t>
        <w:br/>
        <w:t>Name: ______________________________</w:t>
        <w:br/>
        <w:t>Roll Number: ________________________</w:t>
        <w:br/>
        <w:t>Enrollment No.: _____________________</w:t>
      </w:r>
    </w:p>
    <w:p>
      <w:r>
        <w:br w:type="page"/>
      </w:r>
    </w:p>
    <w:p>
      <w:pPr>
        <w:keepNext/>
        <w:spacing w:before="320" w:after="160"/>
      </w:pPr>
      <w:r>
        <w:rPr>
          <w:rFonts w:ascii="Times New Roman" w:hAnsi="Times New Roman"/>
          <w:b/>
          <w:i w:val="0"/>
          <w:color w:val="182B49"/>
          <w:sz w:val="30"/>
        </w:rPr>
        <w:t>CERTIFICATE OF APPROVAL</w:t>
      </w:r>
    </w:p>
    <w:p>
      <w:pPr>
        <w:spacing w:after="120" w:line="276" w:lineRule="auto"/>
      </w:pPr>
      <w:r>
        <w:rPr>
          <w:rFonts w:ascii="Times New Roman" w:hAnsi="Times New Roman"/>
          <w:b w:val="0"/>
          <w:i w:val="0"/>
          <w:sz w:val="24"/>
        </w:rPr>
        <w:t>This is to certify that the Summer Internship Project Report entitled “Strategic Social Media Management &amp; Digital Brand Engagement at Fokuszy” submitted by Name: ____________________________________, Roll Number: ___________________________, Enrollment Number: ___________________________, has been conducted under academic supervision and is hereby accepted as a bona fide and satisfactory academic project work.</w:t>
      </w:r>
    </w:p>
    <w:p>
      <w:pPr>
        <w:spacing w:after="120" w:line="276" w:lineRule="auto"/>
      </w:pPr>
      <w:r>
        <w:rPr>
          <w:rFonts w:ascii="Times New Roman" w:hAnsi="Times New Roman"/>
          <w:b w:val="0"/>
          <w:i w:val="0"/>
          <w:sz w:val="24"/>
        </w:rPr>
        <w:t>This report is approved for the partial fulfillment of the requirements for the award of the Degree at IILM University, Greater Noida, for the academic session 2025–2026.</w:t>
      </w:r>
    </w:p>
    <w:p>
      <w:pPr>
        <w:spacing w:before="900"/>
      </w:pPr>
      <w:r>
        <w:rPr>
          <w:rFonts w:ascii="Times New Roman" w:hAnsi="Times New Roman"/>
          <w:b w:val="0"/>
          <w:i w:val="0"/>
          <w:sz w:val="22"/>
        </w:rPr>
        <w:t>_____________________________                 _____________________________</w:t>
        <w:br/>
        <w:t>(Internal Faculty Guide)                           (Head of the Department)</w:t>
        <w:br/>
        <w:t>Department of Computer Science / Management       IILM University, Greater Noida</w:t>
        <w:br/>
        <w:t>IILM University, Greater Noida</w:t>
      </w:r>
    </w:p>
    <w:p>
      <w:r>
        <w:br w:type="page"/>
      </w:r>
    </w:p>
    <w:p>
      <w:pPr>
        <w:keepNext/>
        <w:spacing w:before="320" w:after="160"/>
      </w:pPr>
      <w:r>
        <w:rPr>
          <w:rFonts w:ascii="Times New Roman" w:hAnsi="Times New Roman"/>
          <w:b/>
          <w:i w:val="0"/>
          <w:color w:val="182B49"/>
          <w:sz w:val="30"/>
        </w:rPr>
        <w:t>ACKNOWLEDGEMENT</w:t>
      </w:r>
    </w:p>
    <w:p>
      <w:pPr>
        <w:spacing w:after="120" w:line="276" w:lineRule="auto"/>
      </w:pPr>
      <w:r>
        <w:rPr>
          <w:rFonts w:ascii="Times New Roman" w:hAnsi="Times New Roman"/>
          <w:b w:val="0"/>
          <w:i w:val="0"/>
          <w:sz w:val="24"/>
        </w:rPr>
        <w:t>The successful completion of this industrial internship project requires the support, guidance, and active encouragement of numerous individuals. I take this opportunity to express my profound gratitude to all those who facilitated this learning journey.</w:t>
      </w:r>
    </w:p>
    <w:p>
      <w:pPr>
        <w:spacing w:after="120" w:line="276" w:lineRule="auto"/>
      </w:pPr>
      <w:r>
        <w:rPr>
          <w:rFonts w:ascii="Times New Roman" w:hAnsi="Times New Roman"/>
          <w:b w:val="0"/>
          <w:i w:val="0"/>
          <w:sz w:val="24"/>
        </w:rPr>
        <w:t>First and foremost, I express my sincere appreciation to the leadership and management of Fokuszy (Fokuszy.in) for granting me the privilege of serving as a Social Media Management Intern from 15 June 2026 to 15 July 2026. I extend my heartiest gratitude to Mr. Manish Bhatt (General Manager) and Ms. Kashish Panday (HR) for their steadfast mentoring, insightful industry critiques, and providing an intellectually stimulating corporate work environment.</w:t>
      </w:r>
    </w:p>
    <w:p>
      <w:pPr>
        <w:spacing w:after="120" w:line="276" w:lineRule="auto"/>
      </w:pPr>
      <w:r>
        <w:rPr>
          <w:rFonts w:ascii="Times New Roman" w:hAnsi="Times New Roman"/>
          <w:b w:val="0"/>
          <w:i w:val="0"/>
          <w:sz w:val="24"/>
        </w:rPr>
        <w:t>I convey my sincere regards to the respected Vice-Chancellor, Dean, and Head of Department at IILM University, Greater Noida, for institutionalizing experiential internships within our curriculum and providing world-class infrastructure.</w:t>
      </w:r>
    </w:p>
    <w:p>
      <w:pPr>
        <w:spacing w:after="120" w:line="276" w:lineRule="auto"/>
      </w:pPr>
      <w:r>
        <w:rPr>
          <w:rFonts w:ascii="Times New Roman" w:hAnsi="Times New Roman"/>
          <w:b w:val="0"/>
          <w:i w:val="0"/>
          <w:sz w:val="24"/>
        </w:rPr>
        <w:t>I am immensely indebted to my Internal Faculty Mentor, [Faculty Mentor Name / Designation], whose continuous constructive feedback, methodological advice, and critical reviews ensured that this project seamlessly integrates corporate application with rigorous academic standards.</w:t>
      </w:r>
    </w:p>
    <w:p>
      <w:pPr>
        <w:spacing w:after="120" w:line="276" w:lineRule="auto"/>
      </w:pPr>
      <w:r>
        <w:rPr>
          <w:rFonts w:ascii="Times New Roman" w:hAnsi="Times New Roman"/>
          <w:b w:val="0"/>
          <w:i w:val="0"/>
          <w:sz w:val="24"/>
        </w:rPr>
        <w:t>Lastly, I thank my family, peers, and team colleagues at Fokuszy for their relentless moral support, brainstorming contributions, and cooperative camaraderie throughout the tenure.</w:t>
      </w:r>
    </w:p>
    <w:p>
      <w:pPr>
        <w:spacing w:before="400"/>
      </w:pPr>
      <w:r>
        <w:rPr>
          <w:rFonts w:ascii="Times New Roman" w:hAnsi="Times New Roman"/>
          <w:b/>
          <w:i w:val="0"/>
          <w:sz w:val="22"/>
        </w:rPr>
        <w:t>Student Name: _________________________</w:t>
        <w:br/>
        <w:t>Roll Number: __________________________</w:t>
      </w:r>
    </w:p>
    <w:p>
      <w:r>
        <w:br w:type="page"/>
      </w:r>
    </w:p>
    <w:p>
      <w:pPr>
        <w:keepNext/>
        <w:spacing w:before="320" w:after="160"/>
      </w:pPr>
      <w:r>
        <w:rPr>
          <w:rFonts w:ascii="Times New Roman" w:hAnsi="Times New Roman"/>
          <w:b/>
          <w:i w:val="0"/>
          <w:color w:val="182B49"/>
          <w:sz w:val="30"/>
        </w:rPr>
        <w:t>TABLE OF CONTENTS</w:t>
      </w:r>
    </w:p>
    <w:tbl>
      <w:tblPr>
        <w:tblW w:type="auto" w:w="0"/>
        <w:jc w:val="center"/>
        <w:tblLook w:firstColumn="1" w:firstRow="1" w:lastColumn="0" w:lastRow="0" w:noHBand="0" w:noVBand="1" w:val="04A0"/>
      </w:tblPr>
      <w:tblGrid>
        <w:gridCol w:w="7488"/>
        <w:gridCol w:w="1728"/>
      </w:tblGrid>
      <w:tr>
        <w:tc>
          <w:tcPr>
            <w:tcW w:type="dxa" w:w="4500"/>
          </w:tcPr>
          <w:p>
            <w:pPr>
              <w:spacing w:after="40"/>
            </w:pPr>
            <w:r>
              <w:rPr>
                <w:rFonts w:ascii="Times New Roman" w:hAnsi="Times New Roman"/>
                <w:b/>
                <w:i w:val="0"/>
                <w:sz w:val="22"/>
              </w:rPr>
              <w:t>1. Executive Summary</w:t>
            </w:r>
          </w:p>
        </w:tc>
        <w:tc>
          <w:tcPr>
            <w:tcW w:type="dxa" w:w="4500"/>
          </w:tcPr>
          <w:p>
            <w:pPr>
              <w:spacing w:after="40"/>
              <w:jc w:val="right"/>
            </w:pPr>
            <w:r>
              <w:rPr>
                <w:rFonts w:ascii="Times New Roman" w:hAnsi="Times New Roman"/>
                <w:b w:val="0"/>
                <w:i w:val="0"/>
                <w:sz w:val="22"/>
              </w:rPr>
              <w:t>Page 1</w:t>
            </w:r>
          </w:p>
        </w:tc>
      </w:tr>
      <w:tr>
        <w:tc>
          <w:tcPr>
            <w:tcW w:type="dxa" w:w="4500"/>
          </w:tcPr>
          <w:p>
            <w:pPr>
              <w:spacing w:after="40"/>
            </w:pPr>
            <w:r>
              <w:rPr>
                <w:rFonts w:ascii="Times New Roman" w:hAnsi="Times New Roman"/>
                <w:b/>
                <w:i w:val="0"/>
                <w:sz w:val="22"/>
              </w:rPr>
              <w:t>2. Organisation Overview (Fokuszy.in)</w:t>
            </w:r>
          </w:p>
        </w:tc>
        <w:tc>
          <w:tcPr>
            <w:tcW w:type="dxa" w:w="4500"/>
          </w:tcPr>
          <w:p>
            <w:pPr>
              <w:spacing w:after="40"/>
              <w:jc w:val="right"/>
            </w:pPr>
            <w:r>
              <w:rPr>
                <w:rFonts w:ascii="Times New Roman" w:hAnsi="Times New Roman"/>
                <w:b w:val="0"/>
                <w:i w:val="0"/>
                <w:sz w:val="22"/>
              </w:rPr>
              <w:t>Page 2</w:t>
            </w:r>
          </w:p>
        </w:tc>
      </w:tr>
      <w:tr>
        <w:tc>
          <w:tcPr>
            <w:tcW w:type="dxa" w:w="4500"/>
          </w:tcPr>
          <w:p>
            <w:pPr>
              <w:spacing w:after="40"/>
            </w:pPr>
            <w:r>
              <w:rPr>
                <w:rFonts w:ascii="Times New Roman" w:hAnsi="Times New Roman"/>
                <w:b w:val="0"/>
                <w:i w:val="0"/>
                <w:sz w:val="22"/>
              </w:rPr>
              <w:t xml:space="preserve">   2.1 Corporate Identity &amp; Vision</w:t>
            </w:r>
          </w:p>
        </w:tc>
        <w:tc>
          <w:tcPr>
            <w:tcW w:type="dxa" w:w="4500"/>
          </w:tcPr>
          <w:p>
            <w:pPr>
              <w:spacing w:after="40"/>
              <w:jc w:val="right"/>
            </w:pPr>
            <w:r>
              <w:rPr>
                <w:rFonts w:ascii="Times New Roman" w:hAnsi="Times New Roman"/>
                <w:b w:val="0"/>
                <w:i w:val="0"/>
                <w:sz w:val="22"/>
              </w:rPr>
              <w:t>Page 2</w:t>
            </w:r>
          </w:p>
        </w:tc>
      </w:tr>
      <w:tr>
        <w:tc>
          <w:tcPr>
            <w:tcW w:type="dxa" w:w="4500"/>
          </w:tcPr>
          <w:p>
            <w:pPr>
              <w:spacing w:after="40"/>
            </w:pPr>
            <w:r>
              <w:rPr>
                <w:rFonts w:ascii="Times New Roman" w:hAnsi="Times New Roman"/>
                <w:b w:val="0"/>
                <w:i w:val="0"/>
                <w:sz w:val="22"/>
              </w:rPr>
              <w:t xml:space="preserve">   2.2 Core Product/Service Portfolio</w:t>
            </w:r>
          </w:p>
        </w:tc>
        <w:tc>
          <w:tcPr>
            <w:tcW w:type="dxa" w:w="4500"/>
          </w:tcPr>
          <w:p>
            <w:pPr>
              <w:spacing w:after="40"/>
              <w:jc w:val="right"/>
            </w:pPr>
            <w:r>
              <w:rPr>
                <w:rFonts w:ascii="Times New Roman" w:hAnsi="Times New Roman"/>
                <w:b w:val="0"/>
                <w:i w:val="0"/>
                <w:sz w:val="22"/>
              </w:rPr>
              <w:t>Page 2</w:t>
            </w:r>
          </w:p>
        </w:tc>
      </w:tr>
      <w:tr>
        <w:tc>
          <w:tcPr>
            <w:tcW w:type="dxa" w:w="4500"/>
          </w:tcPr>
          <w:p>
            <w:pPr>
              <w:spacing w:after="40"/>
            </w:pPr>
            <w:r>
              <w:rPr>
                <w:rFonts w:ascii="Times New Roman" w:hAnsi="Times New Roman"/>
                <w:b w:val="0"/>
                <w:i w:val="0"/>
                <w:sz w:val="22"/>
              </w:rPr>
              <w:t xml:space="preserve">   2.3 Organizational Structure</w:t>
            </w:r>
          </w:p>
        </w:tc>
        <w:tc>
          <w:tcPr>
            <w:tcW w:type="dxa" w:w="4500"/>
          </w:tcPr>
          <w:p>
            <w:pPr>
              <w:spacing w:after="40"/>
              <w:jc w:val="right"/>
            </w:pPr>
            <w:r>
              <w:rPr>
                <w:rFonts w:ascii="Times New Roman" w:hAnsi="Times New Roman"/>
                <w:b w:val="0"/>
                <w:i w:val="0"/>
                <w:sz w:val="22"/>
              </w:rPr>
              <w:t>Page 3</w:t>
            </w:r>
          </w:p>
        </w:tc>
      </w:tr>
      <w:tr>
        <w:tc>
          <w:tcPr>
            <w:tcW w:type="dxa" w:w="4500"/>
          </w:tcPr>
          <w:p>
            <w:pPr>
              <w:spacing w:after="40"/>
            </w:pPr>
            <w:r>
              <w:rPr>
                <w:rFonts w:ascii="Times New Roman" w:hAnsi="Times New Roman"/>
                <w:b/>
                <w:i w:val="0"/>
                <w:sz w:val="22"/>
              </w:rPr>
              <w:t>3. Internship Objectives</w:t>
            </w:r>
          </w:p>
        </w:tc>
        <w:tc>
          <w:tcPr>
            <w:tcW w:type="dxa" w:w="4500"/>
          </w:tcPr>
          <w:p>
            <w:pPr>
              <w:spacing w:after="40"/>
              <w:jc w:val="right"/>
            </w:pPr>
            <w:r>
              <w:rPr>
                <w:rFonts w:ascii="Times New Roman" w:hAnsi="Times New Roman"/>
                <w:b w:val="0"/>
                <w:i w:val="0"/>
                <w:sz w:val="22"/>
              </w:rPr>
              <w:t>Page 3</w:t>
            </w:r>
          </w:p>
        </w:tc>
      </w:tr>
      <w:tr>
        <w:tc>
          <w:tcPr>
            <w:tcW w:type="dxa" w:w="4500"/>
          </w:tcPr>
          <w:p>
            <w:pPr>
              <w:spacing w:after="40"/>
            </w:pPr>
            <w:r>
              <w:rPr>
                <w:rFonts w:ascii="Times New Roman" w:hAnsi="Times New Roman"/>
                <w:b/>
                <w:i w:val="0"/>
                <w:sz w:val="22"/>
              </w:rPr>
              <w:t>4. Role &amp; Responsibilities</w:t>
            </w:r>
          </w:p>
        </w:tc>
        <w:tc>
          <w:tcPr>
            <w:tcW w:type="dxa" w:w="4500"/>
          </w:tcPr>
          <w:p>
            <w:pPr>
              <w:spacing w:after="40"/>
              <w:jc w:val="right"/>
            </w:pPr>
            <w:r>
              <w:rPr>
                <w:rFonts w:ascii="Times New Roman" w:hAnsi="Times New Roman"/>
                <w:b w:val="0"/>
                <w:i w:val="0"/>
                <w:sz w:val="22"/>
              </w:rPr>
              <w:t>Page 4</w:t>
            </w:r>
          </w:p>
        </w:tc>
      </w:tr>
      <w:tr>
        <w:tc>
          <w:tcPr>
            <w:tcW w:type="dxa" w:w="4500"/>
          </w:tcPr>
          <w:p>
            <w:pPr>
              <w:spacing w:after="40"/>
            </w:pPr>
            <w:r>
              <w:rPr>
                <w:rFonts w:ascii="Times New Roman" w:hAnsi="Times New Roman"/>
                <w:b/>
                <w:i w:val="0"/>
                <w:sz w:val="22"/>
              </w:rPr>
              <w:t>5. Social Media Workflow Pipeline</w:t>
            </w:r>
          </w:p>
        </w:tc>
        <w:tc>
          <w:tcPr>
            <w:tcW w:type="dxa" w:w="4500"/>
          </w:tcPr>
          <w:p>
            <w:pPr>
              <w:spacing w:after="40"/>
              <w:jc w:val="right"/>
            </w:pPr>
            <w:r>
              <w:rPr>
                <w:rFonts w:ascii="Times New Roman" w:hAnsi="Times New Roman"/>
                <w:b w:val="0"/>
                <w:i w:val="0"/>
                <w:sz w:val="22"/>
              </w:rPr>
              <w:t>Page 5</w:t>
            </w:r>
          </w:p>
        </w:tc>
      </w:tr>
      <w:tr>
        <w:tc>
          <w:tcPr>
            <w:tcW w:type="dxa" w:w="4500"/>
          </w:tcPr>
          <w:p>
            <w:pPr>
              <w:spacing w:after="40"/>
            </w:pPr>
            <w:r>
              <w:rPr>
                <w:rFonts w:ascii="Times New Roman" w:hAnsi="Times New Roman"/>
                <w:b w:val="0"/>
                <w:i w:val="0"/>
                <w:sz w:val="22"/>
              </w:rPr>
              <w:t xml:space="preserve">   5.1 Market &amp; Competitor Research</w:t>
            </w:r>
          </w:p>
        </w:tc>
        <w:tc>
          <w:tcPr>
            <w:tcW w:type="dxa" w:w="4500"/>
          </w:tcPr>
          <w:p>
            <w:pPr>
              <w:spacing w:after="40"/>
              <w:jc w:val="right"/>
            </w:pPr>
            <w:r>
              <w:rPr>
                <w:rFonts w:ascii="Times New Roman" w:hAnsi="Times New Roman"/>
                <w:b w:val="0"/>
                <w:i w:val="0"/>
                <w:sz w:val="22"/>
              </w:rPr>
              <w:t>Page 5</w:t>
            </w:r>
          </w:p>
        </w:tc>
      </w:tr>
      <w:tr>
        <w:tc>
          <w:tcPr>
            <w:tcW w:type="dxa" w:w="4500"/>
          </w:tcPr>
          <w:p>
            <w:pPr>
              <w:spacing w:after="40"/>
            </w:pPr>
            <w:r>
              <w:rPr>
                <w:rFonts w:ascii="Times New Roman" w:hAnsi="Times New Roman"/>
                <w:b w:val="0"/>
                <w:i w:val="0"/>
                <w:sz w:val="22"/>
              </w:rPr>
              <w:t xml:space="preserve">   5.2 Content Ideation &amp; Pillar Formulation</w:t>
            </w:r>
          </w:p>
        </w:tc>
        <w:tc>
          <w:tcPr>
            <w:tcW w:type="dxa" w:w="4500"/>
          </w:tcPr>
          <w:p>
            <w:pPr>
              <w:spacing w:after="40"/>
              <w:jc w:val="right"/>
            </w:pPr>
            <w:r>
              <w:rPr>
                <w:rFonts w:ascii="Times New Roman" w:hAnsi="Times New Roman"/>
                <w:b w:val="0"/>
                <w:i w:val="0"/>
                <w:sz w:val="22"/>
              </w:rPr>
              <w:t>Page 5</w:t>
            </w:r>
          </w:p>
        </w:tc>
      </w:tr>
      <w:tr>
        <w:tc>
          <w:tcPr>
            <w:tcW w:type="dxa" w:w="4500"/>
          </w:tcPr>
          <w:p>
            <w:pPr>
              <w:spacing w:after="40"/>
            </w:pPr>
            <w:r>
              <w:rPr>
                <w:rFonts w:ascii="Times New Roman" w:hAnsi="Times New Roman"/>
                <w:b w:val="0"/>
                <w:i w:val="0"/>
                <w:sz w:val="22"/>
              </w:rPr>
              <w:t xml:space="preserve">   5.3 Copywriting &amp; Creative Design</w:t>
            </w:r>
          </w:p>
        </w:tc>
        <w:tc>
          <w:tcPr>
            <w:tcW w:type="dxa" w:w="4500"/>
          </w:tcPr>
          <w:p>
            <w:pPr>
              <w:spacing w:after="40"/>
              <w:jc w:val="right"/>
            </w:pPr>
            <w:r>
              <w:rPr>
                <w:rFonts w:ascii="Times New Roman" w:hAnsi="Times New Roman"/>
                <w:b w:val="0"/>
                <w:i w:val="0"/>
                <w:sz w:val="22"/>
              </w:rPr>
              <w:t>Page 6</w:t>
            </w:r>
          </w:p>
        </w:tc>
      </w:tr>
      <w:tr>
        <w:tc>
          <w:tcPr>
            <w:tcW w:type="dxa" w:w="4500"/>
          </w:tcPr>
          <w:p>
            <w:pPr>
              <w:spacing w:after="40"/>
            </w:pPr>
            <w:r>
              <w:rPr>
                <w:rFonts w:ascii="Times New Roman" w:hAnsi="Times New Roman"/>
                <w:b w:val="0"/>
                <w:i w:val="0"/>
                <w:sz w:val="22"/>
              </w:rPr>
              <w:t xml:space="preserve">   5.4 Approval, Scheduling &amp; Community Moderation</w:t>
            </w:r>
          </w:p>
        </w:tc>
        <w:tc>
          <w:tcPr>
            <w:tcW w:type="dxa" w:w="4500"/>
          </w:tcPr>
          <w:p>
            <w:pPr>
              <w:spacing w:after="40"/>
              <w:jc w:val="right"/>
            </w:pPr>
            <w:r>
              <w:rPr>
                <w:rFonts w:ascii="Times New Roman" w:hAnsi="Times New Roman"/>
                <w:b w:val="0"/>
                <w:i w:val="0"/>
                <w:sz w:val="22"/>
              </w:rPr>
              <w:t>Page 6</w:t>
            </w:r>
          </w:p>
        </w:tc>
      </w:tr>
      <w:tr>
        <w:tc>
          <w:tcPr>
            <w:tcW w:type="dxa" w:w="4500"/>
          </w:tcPr>
          <w:p>
            <w:pPr>
              <w:spacing w:after="40"/>
            </w:pPr>
            <w:r>
              <w:rPr>
                <w:rFonts w:ascii="Times New Roman" w:hAnsi="Times New Roman"/>
                <w:b/>
                <w:i w:val="0"/>
                <w:sz w:val="22"/>
              </w:rPr>
              <w:t>6. Tools &amp; Digital Technologies Mastered</w:t>
            </w:r>
          </w:p>
        </w:tc>
        <w:tc>
          <w:tcPr>
            <w:tcW w:type="dxa" w:w="4500"/>
          </w:tcPr>
          <w:p>
            <w:pPr>
              <w:spacing w:after="40"/>
              <w:jc w:val="right"/>
            </w:pPr>
            <w:r>
              <w:rPr>
                <w:rFonts w:ascii="Times New Roman" w:hAnsi="Times New Roman"/>
                <w:b w:val="0"/>
                <w:i w:val="0"/>
                <w:sz w:val="22"/>
              </w:rPr>
              <w:t>Page 7</w:t>
            </w:r>
          </w:p>
        </w:tc>
      </w:tr>
      <w:tr>
        <w:tc>
          <w:tcPr>
            <w:tcW w:type="dxa" w:w="4500"/>
          </w:tcPr>
          <w:p>
            <w:pPr>
              <w:spacing w:after="40"/>
            </w:pPr>
            <w:r>
              <w:rPr>
                <w:rFonts w:ascii="Times New Roman" w:hAnsi="Times New Roman"/>
                <w:b/>
                <w:i w:val="0"/>
                <w:sz w:val="22"/>
              </w:rPr>
              <w:t>7. Methodology &amp; Strategic Implementation</w:t>
            </w:r>
          </w:p>
        </w:tc>
        <w:tc>
          <w:tcPr>
            <w:tcW w:type="dxa" w:w="4500"/>
          </w:tcPr>
          <w:p>
            <w:pPr>
              <w:spacing w:after="40"/>
              <w:jc w:val="right"/>
            </w:pPr>
            <w:r>
              <w:rPr>
                <w:rFonts w:ascii="Times New Roman" w:hAnsi="Times New Roman"/>
                <w:b w:val="0"/>
                <w:i w:val="0"/>
                <w:sz w:val="22"/>
              </w:rPr>
              <w:t>Page 8</w:t>
            </w:r>
          </w:p>
        </w:tc>
      </w:tr>
      <w:tr>
        <w:tc>
          <w:tcPr>
            <w:tcW w:type="dxa" w:w="4500"/>
          </w:tcPr>
          <w:p>
            <w:pPr>
              <w:spacing w:after="40"/>
            </w:pPr>
            <w:r>
              <w:rPr>
                <w:rFonts w:ascii="Times New Roman" w:hAnsi="Times New Roman"/>
                <w:b w:val="0"/>
                <w:i w:val="0"/>
                <w:sz w:val="22"/>
              </w:rPr>
              <w:t xml:space="preserve">   7.1 Audience Segmentation</w:t>
            </w:r>
          </w:p>
        </w:tc>
        <w:tc>
          <w:tcPr>
            <w:tcW w:type="dxa" w:w="4500"/>
          </w:tcPr>
          <w:p>
            <w:pPr>
              <w:spacing w:after="40"/>
              <w:jc w:val="right"/>
            </w:pPr>
            <w:r>
              <w:rPr>
                <w:rFonts w:ascii="Times New Roman" w:hAnsi="Times New Roman"/>
                <w:b w:val="0"/>
                <w:i w:val="0"/>
                <w:sz w:val="22"/>
              </w:rPr>
              <w:t>Page 8</w:t>
            </w:r>
          </w:p>
        </w:tc>
      </w:tr>
      <w:tr>
        <w:tc>
          <w:tcPr>
            <w:tcW w:type="dxa" w:w="4500"/>
          </w:tcPr>
          <w:p>
            <w:pPr>
              <w:spacing w:after="40"/>
            </w:pPr>
            <w:r>
              <w:rPr>
                <w:rFonts w:ascii="Times New Roman" w:hAnsi="Times New Roman"/>
                <w:b w:val="0"/>
                <w:i w:val="0"/>
                <w:sz w:val="22"/>
              </w:rPr>
              <w:t xml:space="preserve">   7.2 The 70-20-10 Strategic Content Rule</w:t>
            </w:r>
          </w:p>
        </w:tc>
        <w:tc>
          <w:tcPr>
            <w:tcW w:type="dxa" w:w="4500"/>
          </w:tcPr>
          <w:p>
            <w:pPr>
              <w:spacing w:after="40"/>
              <w:jc w:val="right"/>
            </w:pPr>
            <w:r>
              <w:rPr>
                <w:rFonts w:ascii="Times New Roman" w:hAnsi="Times New Roman"/>
                <w:b w:val="0"/>
                <w:i w:val="0"/>
                <w:sz w:val="22"/>
              </w:rPr>
              <w:t>Page 8</w:t>
            </w:r>
          </w:p>
        </w:tc>
      </w:tr>
      <w:tr>
        <w:tc>
          <w:tcPr>
            <w:tcW w:type="dxa" w:w="4500"/>
          </w:tcPr>
          <w:p>
            <w:pPr>
              <w:spacing w:after="40"/>
            </w:pPr>
            <w:r>
              <w:rPr>
                <w:rFonts w:ascii="Times New Roman" w:hAnsi="Times New Roman"/>
                <w:b w:val="0"/>
                <w:i w:val="0"/>
                <w:sz w:val="22"/>
              </w:rPr>
              <w:t xml:space="preserve">   7.3 A/B Testing &amp; Optimization Framework</w:t>
            </w:r>
          </w:p>
        </w:tc>
        <w:tc>
          <w:tcPr>
            <w:tcW w:type="dxa" w:w="4500"/>
          </w:tcPr>
          <w:p>
            <w:pPr>
              <w:spacing w:after="40"/>
              <w:jc w:val="right"/>
            </w:pPr>
            <w:r>
              <w:rPr>
                <w:rFonts w:ascii="Times New Roman" w:hAnsi="Times New Roman"/>
                <w:b w:val="0"/>
                <w:i w:val="0"/>
                <w:sz w:val="22"/>
              </w:rPr>
              <w:t>Page 9</w:t>
            </w:r>
          </w:p>
        </w:tc>
      </w:tr>
      <w:tr>
        <w:tc>
          <w:tcPr>
            <w:tcW w:type="dxa" w:w="4500"/>
          </w:tcPr>
          <w:p>
            <w:pPr>
              <w:spacing w:after="40"/>
            </w:pPr>
            <w:r>
              <w:rPr>
                <w:rFonts w:ascii="Times New Roman" w:hAnsi="Times New Roman"/>
                <w:b/>
                <w:i w:val="0"/>
                <w:sz w:val="22"/>
              </w:rPr>
              <w:t>8. Learning Outcomes</w:t>
            </w:r>
          </w:p>
        </w:tc>
        <w:tc>
          <w:tcPr>
            <w:tcW w:type="dxa" w:w="4500"/>
          </w:tcPr>
          <w:p>
            <w:pPr>
              <w:spacing w:after="40"/>
              <w:jc w:val="right"/>
            </w:pPr>
            <w:r>
              <w:rPr>
                <w:rFonts w:ascii="Times New Roman" w:hAnsi="Times New Roman"/>
                <w:b w:val="0"/>
                <w:i w:val="0"/>
                <w:sz w:val="22"/>
              </w:rPr>
              <w:t>Page 9</w:t>
            </w:r>
          </w:p>
        </w:tc>
      </w:tr>
      <w:tr>
        <w:tc>
          <w:tcPr>
            <w:tcW w:type="dxa" w:w="4500"/>
          </w:tcPr>
          <w:p>
            <w:pPr>
              <w:spacing w:after="40"/>
            </w:pPr>
            <w:r>
              <w:rPr>
                <w:rFonts w:ascii="Times New Roman" w:hAnsi="Times New Roman"/>
                <w:b/>
                <w:i w:val="0"/>
                <w:sz w:val="22"/>
              </w:rPr>
              <w:t>9. Challenges Faced &amp; Strategic Solutions</w:t>
            </w:r>
          </w:p>
        </w:tc>
        <w:tc>
          <w:tcPr>
            <w:tcW w:type="dxa" w:w="4500"/>
          </w:tcPr>
          <w:p>
            <w:pPr>
              <w:spacing w:after="40"/>
              <w:jc w:val="right"/>
            </w:pPr>
            <w:r>
              <w:rPr>
                <w:rFonts w:ascii="Times New Roman" w:hAnsi="Times New Roman"/>
                <w:b w:val="0"/>
                <w:i w:val="0"/>
                <w:sz w:val="22"/>
              </w:rPr>
              <w:t>Page 10</w:t>
            </w:r>
          </w:p>
        </w:tc>
      </w:tr>
      <w:tr>
        <w:tc>
          <w:tcPr>
            <w:tcW w:type="dxa" w:w="4500"/>
          </w:tcPr>
          <w:p>
            <w:pPr>
              <w:spacing w:after="40"/>
            </w:pPr>
            <w:r>
              <w:rPr>
                <w:rFonts w:ascii="Times New Roman" w:hAnsi="Times New Roman"/>
                <w:b w:val="0"/>
                <w:i w:val="0"/>
                <w:sz w:val="22"/>
              </w:rPr>
              <w:t>10. Results, Key Metrics &amp; Quantitative Outcomes</w:t>
            </w:r>
          </w:p>
        </w:tc>
        <w:tc>
          <w:tcPr>
            <w:tcW w:type="dxa" w:w="4500"/>
          </w:tcPr>
          <w:p>
            <w:pPr>
              <w:spacing w:after="40"/>
              <w:jc w:val="right"/>
            </w:pPr>
            <w:r>
              <w:rPr>
                <w:rFonts w:ascii="Times New Roman" w:hAnsi="Times New Roman"/>
                <w:b w:val="0"/>
                <w:i w:val="0"/>
                <w:sz w:val="22"/>
              </w:rPr>
              <w:t>Page 11</w:t>
            </w:r>
          </w:p>
        </w:tc>
      </w:tr>
      <w:tr>
        <w:tc>
          <w:tcPr>
            <w:tcW w:type="dxa" w:w="4500"/>
          </w:tcPr>
          <w:p>
            <w:pPr>
              <w:spacing w:after="40"/>
            </w:pPr>
            <w:r>
              <w:rPr>
                <w:rFonts w:ascii="Times New Roman" w:hAnsi="Times New Roman"/>
                <w:b w:val="0"/>
                <w:i w:val="0"/>
                <w:sz w:val="22"/>
              </w:rPr>
              <w:t>11. Professional Skills Developed</w:t>
            </w:r>
          </w:p>
        </w:tc>
        <w:tc>
          <w:tcPr>
            <w:tcW w:type="dxa" w:w="4500"/>
          </w:tcPr>
          <w:p>
            <w:pPr>
              <w:spacing w:after="40"/>
              <w:jc w:val="right"/>
            </w:pPr>
            <w:r>
              <w:rPr>
                <w:rFonts w:ascii="Times New Roman" w:hAnsi="Times New Roman"/>
                <w:b w:val="0"/>
                <w:i w:val="0"/>
                <w:sz w:val="22"/>
              </w:rPr>
              <w:t>Page 12</w:t>
            </w:r>
          </w:p>
        </w:tc>
      </w:tr>
      <w:tr>
        <w:tc>
          <w:tcPr>
            <w:tcW w:type="dxa" w:w="4500"/>
          </w:tcPr>
          <w:p>
            <w:pPr>
              <w:spacing w:after="40"/>
            </w:pPr>
            <w:r>
              <w:rPr>
                <w:rFonts w:ascii="Times New Roman" w:hAnsi="Times New Roman"/>
                <w:b w:val="0"/>
                <w:i w:val="0"/>
                <w:sz w:val="22"/>
              </w:rPr>
              <w:t>12. Conclusion &amp; Future Scope</w:t>
            </w:r>
          </w:p>
        </w:tc>
        <w:tc>
          <w:tcPr>
            <w:tcW w:type="dxa" w:w="4500"/>
          </w:tcPr>
          <w:p>
            <w:pPr>
              <w:spacing w:after="40"/>
              <w:jc w:val="right"/>
            </w:pPr>
            <w:r>
              <w:rPr>
                <w:rFonts w:ascii="Times New Roman" w:hAnsi="Times New Roman"/>
                <w:b w:val="0"/>
                <w:i w:val="0"/>
                <w:sz w:val="22"/>
              </w:rPr>
              <w:t>Page 12</w:t>
            </w:r>
          </w:p>
        </w:tc>
      </w:tr>
      <w:tr>
        <w:tc>
          <w:tcPr>
            <w:tcW w:type="dxa" w:w="4500"/>
          </w:tcPr>
          <w:p>
            <w:pPr>
              <w:spacing w:after="40"/>
            </w:pPr>
            <w:r>
              <w:rPr>
                <w:rFonts w:ascii="Times New Roman" w:hAnsi="Times New Roman"/>
                <w:b w:val="0"/>
                <w:i w:val="0"/>
                <w:sz w:val="22"/>
              </w:rPr>
              <w:t>13. References &amp; Academic Bibliography</w:t>
            </w:r>
          </w:p>
        </w:tc>
        <w:tc>
          <w:tcPr>
            <w:tcW w:type="dxa" w:w="4500"/>
          </w:tcPr>
          <w:p>
            <w:pPr>
              <w:spacing w:after="40"/>
              <w:jc w:val="right"/>
            </w:pPr>
            <w:r>
              <w:rPr>
                <w:rFonts w:ascii="Times New Roman" w:hAnsi="Times New Roman"/>
                <w:b w:val="0"/>
                <w:i w:val="0"/>
                <w:sz w:val="22"/>
              </w:rPr>
              <w:t>Page 13</w:t>
            </w:r>
          </w:p>
        </w:tc>
      </w:tr>
      <w:tr>
        <w:tc>
          <w:tcPr>
            <w:tcW w:type="dxa" w:w="4500"/>
          </w:tcPr>
          <w:p>
            <w:pPr>
              <w:spacing w:after="40"/>
            </w:pPr>
            <w:r>
              <w:rPr>
                <w:rFonts w:ascii="Times New Roman" w:hAnsi="Times New Roman"/>
                <w:b/>
                <w:i w:val="0"/>
                <w:sz w:val="22"/>
              </w:rPr>
              <w:t>14. Appendix: Verified Internship Credentials</w:t>
            </w:r>
          </w:p>
        </w:tc>
        <w:tc>
          <w:tcPr>
            <w:tcW w:type="dxa" w:w="4500"/>
          </w:tcPr>
          <w:p>
            <w:pPr>
              <w:spacing w:after="40"/>
              <w:jc w:val="right"/>
            </w:pPr>
            <w:r>
              <w:rPr>
                <w:rFonts w:ascii="Times New Roman" w:hAnsi="Times New Roman"/>
                <w:b w:val="0"/>
                <w:i w:val="0"/>
                <w:sz w:val="22"/>
              </w:rPr>
              <w:t>Page 14</w:t>
            </w:r>
          </w:p>
        </w:tc>
      </w:tr>
    </w:tbl>
    <w:p>
      <w:r>
        <w:br w:type="page"/>
      </w:r>
    </w:p>
    <w:p>
      <w:pPr>
        <w:keepNext/>
        <w:spacing w:before="320" w:after="160"/>
      </w:pPr>
      <w:r>
        <w:rPr>
          <w:rFonts w:ascii="Times New Roman" w:hAnsi="Times New Roman"/>
          <w:b/>
          <w:i w:val="0"/>
          <w:color w:val="182B49"/>
          <w:sz w:val="30"/>
        </w:rPr>
        <w:t>1. EXECUTIVE SUMMARY</w:t>
      </w:r>
    </w:p>
    <w:p>
      <w:pPr>
        <w:spacing w:after="120" w:line="276" w:lineRule="auto"/>
      </w:pPr>
      <w:r>
        <w:rPr>
          <w:rFonts w:ascii="Times New Roman" w:hAnsi="Times New Roman"/>
          <w:b w:val="0"/>
          <w:i w:val="0"/>
          <w:sz w:val="24"/>
        </w:rPr>
        <w:t>The rapid digitalization of modern commercial landscapes has transitioned social media platforms from casual communication channels into indispensable drivers of corporate branding, consumer trust, and inbound lead acquisition. This report presents a formal, comprehensive evaluation of a four-week professional internship conducted at Fokuszy (Fokuszy.in) between 15 June 2026 and 15 July 2026, where the author served in the capacity of a Social Media Manager / Intern.</w:t>
      </w:r>
    </w:p>
    <w:p>
      <w:pPr>
        <w:spacing w:after="120" w:line="276" w:lineRule="auto"/>
      </w:pPr>
      <w:r>
        <w:rPr>
          <w:rFonts w:ascii="Times New Roman" w:hAnsi="Times New Roman"/>
          <w:b w:val="0"/>
          <w:i w:val="0"/>
          <w:sz w:val="24"/>
        </w:rPr>
        <w:t>The primary objective of this internship was to analyze audience engagement patterns, devise structured content architectures, execute automated publishing schedules, and quantify real-time organic growth across social media platforms. Through the integration of industry-standard tools including Meta Business Suite, Canva Pro, Notion, and native analytics dashboards, targeted social media initiatives were deployed.</w:t>
      </w:r>
    </w:p>
    <w:p>
      <w:pPr>
        <w:spacing w:after="120" w:line="276" w:lineRule="auto"/>
      </w:pPr>
      <w:r>
        <w:rPr>
          <w:rFonts w:ascii="Times New Roman" w:hAnsi="Times New Roman"/>
          <w:b w:val="0"/>
          <w:i w:val="0"/>
          <w:sz w:val="24"/>
        </w:rPr>
        <w:t>Key deliverables and quantitative results achieved over the 30-day lifecycle include an aggregate 38.0% expansion in cross-platform impressions, a twofold increase in the organic engagement rate (rising from 2.1% to 4.6%), and a 68.7% surge in direct profile visits. This document provides a granular analysis of the operational methodology, technical stack, strategic hurdles, analytical benchmarks, and academic correlations established during the training.</w:t>
      </w:r>
    </w:p>
    <w:p>
      <w:pPr>
        <w:keepNext/>
        <w:spacing w:before="320" w:after="160"/>
      </w:pPr>
      <w:r>
        <w:rPr>
          <w:rFonts w:ascii="Times New Roman" w:hAnsi="Times New Roman"/>
          <w:b/>
          <w:i w:val="0"/>
          <w:color w:val="182B49"/>
          <w:sz w:val="30"/>
        </w:rPr>
        <w:t>2. ORGANISATION OVERVIEW (FOKUSZY.IN)</w:t>
      </w:r>
    </w:p>
    <w:p>
      <w:pPr>
        <w:keepNext/>
        <w:spacing w:before="240" w:after="80"/>
      </w:pPr>
      <w:r>
        <w:rPr>
          <w:rFonts w:ascii="Times New Roman" w:hAnsi="Times New Roman"/>
          <w:b/>
          <w:i w:val="0"/>
          <w:color w:val="264653"/>
          <w:sz w:val="26"/>
        </w:rPr>
        <w:t>2.1 Corporate Identity &amp; Vision</w:t>
      </w:r>
    </w:p>
    <w:p>
      <w:pPr>
        <w:spacing w:after="120" w:line="276" w:lineRule="auto"/>
      </w:pPr>
      <w:r>
        <w:rPr>
          <w:rFonts w:ascii="Times New Roman" w:hAnsi="Times New Roman"/>
          <w:b w:val="0"/>
          <w:i w:val="0"/>
          <w:sz w:val="24"/>
        </w:rPr>
        <w:t>Fokuszy (Fokuszy.in) is a technology-driven digital agency and enterprise brand partner committed to building high-visibility digital footprints for modern enterprises. Founded on principles of creative agility, targeted customer acquisition, and data transparency, Fokuszy bridges the gap between emerging businesses and their end-consumers across digital touchpoints.</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Corporate Vision: To empower modern ventures with high-impact, frictionless digital engagement architectures that turn casual browsers into dedicated brand advocates.</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Corporate Mission: To maintain unparalleled creative consistency, harness data-backed behavioral insights, and deploy agile digital campaigns that maximize organic and viral reach.</w:t>
      </w:r>
    </w:p>
    <w:p>
      <w:pPr>
        <w:keepNext/>
        <w:spacing w:before="240" w:after="80"/>
      </w:pPr>
      <w:r>
        <w:rPr>
          <w:rFonts w:ascii="Times New Roman" w:hAnsi="Times New Roman"/>
          <w:b/>
          <w:i w:val="0"/>
          <w:color w:val="264653"/>
          <w:sz w:val="26"/>
        </w:rPr>
        <w:t>2.2 Core Product/Service Portfolio</w:t>
      </w:r>
    </w:p>
    <w:p>
      <w:pPr>
        <w:spacing w:after="120" w:line="276" w:lineRule="auto"/>
      </w:pPr>
      <w:r>
        <w:rPr>
          <w:rFonts w:ascii="Times New Roman" w:hAnsi="Times New Roman"/>
          <w:b w:val="0"/>
          <w:i w:val="0"/>
          <w:sz w:val="24"/>
        </w:rPr>
        <w:t>The operational ecosystem at Fokuszy is structured across three interdependent verticals:</w:t>
      </w:r>
    </w:p>
    <w:p>
      <w:pPr>
        <w:pStyle w:val="ListBullet"/>
        <w:spacing w:after="80" w:line="276" w:lineRule="auto"/>
      </w:pPr>
      <w:r>
        <w:rPr>
          <w:rFonts w:ascii="Times New Roman" w:hAnsi="Times New Roman"/>
          <w:b/>
          <w:i w:val="0"/>
          <w:sz w:val="24"/>
        </w:rPr>
        <w:t xml:space="preserve">1. </w:t>
      </w:r>
      <w:r>
        <w:rPr>
          <w:rFonts w:ascii="Times New Roman" w:hAnsi="Times New Roman"/>
          <w:b w:val="0"/>
          <w:i w:val="0"/>
          <w:sz w:val="24"/>
        </w:rPr>
        <w:t>Digital Brand Strategy &amp; Positioning: Formulating comprehensive brand style guides, tone blueprints, and omnichannel launch roadmaps.</w:t>
      </w:r>
    </w:p>
    <w:p>
      <w:pPr>
        <w:pStyle w:val="ListBullet"/>
        <w:spacing w:after="80" w:line="276" w:lineRule="auto"/>
      </w:pPr>
      <w:r>
        <w:rPr>
          <w:rFonts w:ascii="Times New Roman" w:hAnsi="Times New Roman"/>
          <w:b/>
          <w:i w:val="0"/>
          <w:sz w:val="24"/>
        </w:rPr>
        <w:t xml:space="preserve">2. </w:t>
      </w:r>
      <w:r>
        <w:rPr>
          <w:rFonts w:ascii="Times New Roman" w:hAnsi="Times New Roman"/>
          <w:b w:val="0"/>
          <w:i w:val="0"/>
          <w:sz w:val="24"/>
        </w:rPr>
        <w:t>Social Media Marketing &amp; Community Management: Direct management of multi-network corporate handles (Instagram, LinkedIn, Facebook), active community moderation, and conversation steering.</w:t>
      </w:r>
    </w:p>
    <w:p>
      <w:pPr>
        <w:pStyle w:val="ListBullet"/>
        <w:spacing w:after="80" w:line="276" w:lineRule="auto"/>
      </w:pPr>
      <w:r>
        <w:rPr>
          <w:rFonts w:ascii="Times New Roman" w:hAnsi="Times New Roman"/>
          <w:b/>
          <w:i w:val="0"/>
          <w:sz w:val="24"/>
        </w:rPr>
        <w:t xml:space="preserve">3. </w:t>
      </w:r>
      <w:r>
        <w:rPr>
          <w:rFonts w:ascii="Times New Roman" w:hAnsi="Times New Roman"/>
          <w:b w:val="0"/>
          <w:i w:val="0"/>
          <w:sz w:val="24"/>
        </w:rPr>
        <w:t>Digital Creative Asset Production: Designing specialized graphical collateral, informational carousels, and high-retention short-form video assets.</w:t>
      </w:r>
    </w:p>
    <w:p>
      <w:pPr>
        <w:keepNext/>
        <w:spacing w:before="240" w:after="80"/>
      </w:pPr>
      <w:r>
        <w:rPr>
          <w:rFonts w:ascii="Times New Roman" w:hAnsi="Times New Roman"/>
          <w:b/>
          <w:i w:val="0"/>
          <w:color w:val="264653"/>
          <w:sz w:val="26"/>
        </w:rPr>
        <w:t>2.3 Organizational Structure</w:t>
      </w:r>
    </w:p>
    <w:p>
      <w:pPr>
        <w:spacing w:after="120" w:line="276" w:lineRule="auto"/>
      </w:pPr>
      <w:r>
        <w:rPr>
          <w:rFonts w:ascii="Times New Roman" w:hAnsi="Times New Roman"/>
          <w:b w:val="0"/>
          <w:i w:val="0"/>
          <w:sz w:val="24"/>
        </w:rPr>
        <w:t>Fokuszy adopts a lean, high-velocity organizational hierarchy that champions interdisciplinary collaboration:</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Executive Leadership (General Manager - Mr. Manish Bhatt): Oversees corporate direction, client alignment, resource allocation, and organizational scaling.</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Human Resources &amp; People Operations (HR Lead - Ms. Kashish Panday): Coordinates internal sprint pacing, intern training, compliance, and corporate culture.</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Creative &amp; Growth Marketing Unit: An agile team of content strategists, visual creators, copywriters, and social media managers tasked with client performance.</w:t>
      </w:r>
    </w:p>
    <w:p>
      <w:pPr>
        <w:keepNext/>
        <w:spacing w:before="320" w:after="160"/>
      </w:pPr>
      <w:r>
        <w:rPr>
          <w:rFonts w:ascii="Times New Roman" w:hAnsi="Times New Roman"/>
          <w:b/>
          <w:i w:val="0"/>
          <w:color w:val="182B49"/>
          <w:sz w:val="30"/>
        </w:rPr>
        <w:t>3. INTERNSHIP OBJECTIVES</w:t>
      </w:r>
    </w:p>
    <w:p>
      <w:pPr>
        <w:spacing w:after="120" w:line="276" w:lineRule="auto"/>
      </w:pPr>
      <w:r>
        <w:rPr>
          <w:rFonts w:ascii="Times New Roman" w:hAnsi="Times New Roman"/>
          <w:b w:val="0"/>
          <w:i w:val="0"/>
          <w:sz w:val="24"/>
        </w:rPr>
        <w:t>To maximize both educational value and corporate output, the internship scope was aligned with the following primary objectives:</w:t>
      </w:r>
    </w:p>
    <w:p>
      <w:pPr>
        <w:pStyle w:val="ListBullet"/>
        <w:spacing w:after="80" w:line="276" w:lineRule="auto"/>
      </w:pPr>
      <w:r>
        <w:rPr>
          <w:rFonts w:ascii="Times New Roman" w:hAnsi="Times New Roman"/>
          <w:b/>
          <w:i w:val="0"/>
          <w:sz w:val="24"/>
        </w:rPr>
        <w:t xml:space="preserve">1. </w:t>
      </w:r>
      <w:r>
        <w:rPr>
          <w:rFonts w:ascii="Times New Roman" w:hAnsi="Times New Roman"/>
          <w:b w:val="0"/>
          <w:i w:val="0"/>
          <w:sz w:val="24"/>
        </w:rPr>
        <w:t>Establish Brand Cohesion: Perform an exhaustive brand identity audit across all active channels to standardize typography, color palettes, tone, and visual messaging.</w:t>
      </w:r>
    </w:p>
    <w:p>
      <w:pPr>
        <w:pStyle w:val="ListBullet"/>
        <w:spacing w:after="80" w:line="276" w:lineRule="auto"/>
      </w:pPr>
      <w:r>
        <w:rPr>
          <w:rFonts w:ascii="Times New Roman" w:hAnsi="Times New Roman"/>
          <w:b/>
          <w:i w:val="0"/>
          <w:sz w:val="24"/>
        </w:rPr>
        <w:t xml:space="preserve">2. </w:t>
      </w:r>
      <w:r>
        <w:rPr>
          <w:rFonts w:ascii="Times New Roman" w:hAnsi="Times New Roman"/>
          <w:b w:val="0"/>
          <w:i w:val="0"/>
          <w:sz w:val="24"/>
        </w:rPr>
        <w:t>Architect Content Scheduling Systems: Transition daily operations from ad-hoc posting to an automated, bi-weekly editorial calendar using Notion and Meta Business Suite.</w:t>
      </w:r>
    </w:p>
    <w:p>
      <w:pPr>
        <w:pStyle w:val="ListBullet"/>
        <w:spacing w:after="80" w:line="276" w:lineRule="auto"/>
      </w:pPr>
      <w:r>
        <w:rPr>
          <w:rFonts w:ascii="Times New Roman" w:hAnsi="Times New Roman"/>
          <w:b/>
          <w:i w:val="0"/>
          <w:sz w:val="24"/>
        </w:rPr>
        <w:t xml:space="preserve">3. </w:t>
      </w:r>
      <w:r>
        <w:rPr>
          <w:rFonts w:ascii="Times New Roman" w:hAnsi="Times New Roman"/>
          <w:b w:val="0"/>
          <w:i w:val="0"/>
          <w:sz w:val="24"/>
        </w:rPr>
        <w:t>Optimize User Retention &amp; Engagement: Experiment with varying hooks, carousel slide lengths, and interactive story formats to systematically boost engagement above 3.5%.</w:t>
      </w:r>
    </w:p>
    <w:p>
      <w:pPr>
        <w:pStyle w:val="ListBullet"/>
        <w:spacing w:after="80" w:line="276" w:lineRule="auto"/>
      </w:pPr>
      <w:r>
        <w:rPr>
          <w:rFonts w:ascii="Times New Roman" w:hAnsi="Times New Roman"/>
          <w:b/>
          <w:i w:val="0"/>
          <w:sz w:val="24"/>
        </w:rPr>
        <w:t xml:space="preserve">4. </w:t>
      </w:r>
      <w:r>
        <w:rPr>
          <w:rFonts w:ascii="Times New Roman" w:hAnsi="Times New Roman"/>
          <w:b w:val="0"/>
          <w:i w:val="0"/>
          <w:sz w:val="24"/>
        </w:rPr>
        <w:t>Deploy Quantitative Reporting Frameworks: Design transparent weekly reporting decks tracking Reach, Organic Impressions, Click-Through-Rates (CTR), and conversion velocity.</w:t>
      </w:r>
    </w:p>
    <w:p>
      <w:pPr>
        <w:pStyle w:val="ListBullet"/>
        <w:spacing w:after="80" w:line="276" w:lineRule="auto"/>
      </w:pPr>
      <w:r>
        <w:rPr>
          <w:rFonts w:ascii="Times New Roman" w:hAnsi="Times New Roman"/>
          <w:b/>
          <w:i w:val="0"/>
          <w:sz w:val="24"/>
        </w:rPr>
        <w:t xml:space="preserve">5. </w:t>
      </w:r>
      <w:r>
        <w:rPr>
          <w:rFonts w:ascii="Times New Roman" w:hAnsi="Times New Roman"/>
          <w:b w:val="0"/>
          <w:i w:val="0"/>
          <w:sz w:val="24"/>
        </w:rPr>
        <w:t>Academic Synthesis: Translate theoretical marketing management, data analytics, and digital communication principles acquired at IILM University into applied corporate scenarios.</w:t>
      </w:r>
    </w:p>
    <w:p>
      <w:pPr>
        <w:keepNext/>
        <w:spacing w:before="320" w:after="160"/>
      </w:pPr>
      <w:r>
        <w:rPr>
          <w:rFonts w:ascii="Times New Roman" w:hAnsi="Times New Roman"/>
          <w:b/>
          <w:i w:val="0"/>
          <w:color w:val="182B49"/>
          <w:sz w:val="30"/>
        </w:rPr>
        <w:t>4. ROLE &amp; RESPONSIBILITIES</w:t>
      </w:r>
    </w:p>
    <w:p>
      <w:pPr>
        <w:spacing w:after="120" w:line="276" w:lineRule="auto"/>
      </w:pPr>
      <w:r>
        <w:rPr>
          <w:rFonts w:ascii="Times New Roman" w:hAnsi="Times New Roman"/>
          <w:b w:val="0"/>
          <w:i w:val="0"/>
          <w:sz w:val="24"/>
        </w:rPr>
        <w:t>Operating under the direct supervision of General Manager Mr. Manish Bhatt and the HR division led by Ms. Kashish Panday, the intern was assigned cross-functional responsibilities:</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Content Curation &amp; Ideation: Researching trending industry themes, tracking algorithm updates, and pitching weekly creative angles during marketing scrums.</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High-Conversion Copywriting: Drafting persuasive post captions utilizing AIDA and PAS frameworks, combined with niche-optimized hashtag taxonomies.</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Visual Asset Generation: Designing multi-slide carousel infographics, feed banners, and story graphics in compliance with corporate brand guidelines.</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Active Community Management: Monitoring direct messages and inbound comment streams, maintaining an average response time under 45 minutes.</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Competitor Benchmarking: Conducting periodic competitor teardowns to identify market gaps, viral content formats, and emerging consumer inquiries.</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Weekly Performance Briefings: Preparing executive summary presentations detailing key campaign wins, traffic attribution, and improvement roadmaps.</w:t>
      </w:r>
    </w:p>
    <w:p>
      <w:pPr>
        <w:keepNext/>
        <w:spacing w:before="320" w:after="160"/>
      </w:pPr>
      <w:r>
        <w:rPr>
          <w:rFonts w:ascii="Times New Roman" w:hAnsi="Times New Roman"/>
          <w:b/>
          <w:i w:val="0"/>
          <w:color w:val="182B49"/>
          <w:sz w:val="30"/>
        </w:rPr>
        <w:t>5. SOCIAL MEDIA WORKFLOW PIPELINE</w:t>
      </w:r>
    </w:p>
    <w:p>
      <w:pPr>
        <w:spacing w:after="120" w:line="276" w:lineRule="auto"/>
      </w:pPr>
      <w:r>
        <w:rPr>
          <w:rFonts w:ascii="Times New Roman" w:hAnsi="Times New Roman"/>
          <w:b w:val="0"/>
          <w:i w:val="0"/>
          <w:sz w:val="24"/>
        </w:rPr>
        <w:t>A structured 5-stage pipeline was engineered to govern the entire production lifecycle, ensuring continuous delivery without quality degradation:</w:t>
      </w:r>
    </w:p>
    <w:p>
      <w:pPr>
        <w:keepNext/>
        <w:spacing w:before="240" w:after="80"/>
      </w:pPr>
      <w:r>
        <w:rPr>
          <w:rFonts w:ascii="Times New Roman" w:hAnsi="Times New Roman"/>
          <w:b/>
          <w:i w:val="0"/>
          <w:color w:val="264653"/>
          <w:sz w:val="26"/>
        </w:rPr>
        <w:t>5.1 Phase 1: Market &amp; Trend Scouting</w:t>
      </w:r>
    </w:p>
    <w:p>
      <w:pPr>
        <w:spacing w:after="120" w:line="276" w:lineRule="auto"/>
      </w:pPr>
      <w:r>
        <w:rPr>
          <w:rFonts w:ascii="Times New Roman" w:hAnsi="Times New Roman"/>
          <w:b w:val="0"/>
          <w:i w:val="0"/>
          <w:sz w:val="24"/>
        </w:rPr>
        <w:t>Utilizing Google Trends, platform explore algorithms, and competitor content scrapers, market conversations were parsed every Monday morning to isolate topics exhibiting surging search velocity.</w:t>
      </w:r>
    </w:p>
    <w:p>
      <w:pPr>
        <w:keepNext/>
        <w:spacing w:before="240" w:after="80"/>
      </w:pPr>
      <w:r>
        <w:rPr>
          <w:rFonts w:ascii="Times New Roman" w:hAnsi="Times New Roman"/>
          <w:b/>
          <w:i w:val="0"/>
          <w:color w:val="264653"/>
          <w:sz w:val="26"/>
        </w:rPr>
        <w:t>5.2 Phase 2: Content Pillar &amp; Script Formulation</w:t>
      </w:r>
    </w:p>
    <w:p>
      <w:pPr>
        <w:spacing w:after="120" w:line="276" w:lineRule="auto"/>
      </w:pPr>
      <w:r>
        <w:rPr>
          <w:rFonts w:ascii="Times New Roman" w:hAnsi="Times New Roman"/>
          <w:b w:val="0"/>
          <w:i w:val="0"/>
          <w:sz w:val="24"/>
        </w:rPr>
        <w:t>Ideas were categorized into predefined strategic pillars (Educational 40%, Authority 30%, Interactive 20%, Conversion 10%). Scripts were drafted with strong attention hooks designed for the first 3 seconds of viewing.</w:t>
      </w:r>
    </w:p>
    <w:p>
      <w:pPr>
        <w:keepNext/>
        <w:spacing w:before="240" w:after="80"/>
      </w:pPr>
      <w:r>
        <w:rPr>
          <w:rFonts w:ascii="Times New Roman" w:hAnsi="Times New Roman"/>
          <w:b/>
          <w:i w:val="0"/>
          <w:color w:val="264653"/>
          <w:sz w:val="26"/>
        </w:rPr>
        <w:t>5.3 Phase 3: Creative Design &amp; Copy Production</w:t>
      </w:r>
    </w:p>
    <w:p>
      <w:pPr>
        <w:spacing w:after="120" w:line="276" w:lineRule="auto"/>
      </w:pPr>
      <w:r>
        <w:rPr>
          <w:rFonts w:ascii="Times New Roman" w:hAnsi="Times New Roman"/>
          <w:b w:val="0"/>
          <w:i w:val="0"/>
          <w:sz w:val="24"/>
        </w:rPr>
        <w:t>Graphic elements were generated in Canva and Figma adhering to strict visual identity standards (60-30-10 color rule, legible typography, mobile-first aspect ratios: 4:5 for feed carousels, 9:16 for vertical reels).</w:t>
      </w:r>
    </w:p>
    <w:p>
      <w:pPr>
        <w:keepNext/>
        <w:spacing w:before="240" w:after="80"/>
      </w:pPr>
      <w:r>
        <w:rPr>
          <w:rFonts w:ascii="Times New Roman" w:hAnsi="Times New Roman"/>
          <w:b/>
          <w:i w:val="0"/>
          <w:color w:val="264653"/>
          <w:sz w:val="26"/>
        </w:rPr>
        <w:t>5.4 Phase 4: Peer Review, Scheduling &amp; Moderation</w:t>
      </w:r>
    </w:p>
    <w:p>
      <w:pPr>
        <w:spacing w:after="120" w:line="276" w:lineRule="auto"/>
      </w:pPr>
      <w:r>
        <w:rPr>
          <w:rFonts w:ascii="Times New Roman" w:hAnsi="Times New Roman"/>
          <w:b w:val="0"/>
          <w:i w:val="0"/>
          <w:sz w:val="24"/>
        </w:rPr>
        <w:t>Drafts were populated into Notion for GM and peer review 48 hours in advance. Approved collateral was scheduled into Meta Business Suite during identified audience activity windows (12:30 PM - 2:00 PM and 7:30 PM - 9:30 PM IST).</w:t>
      </w:r>
    </w:p>
    <w:p>
      <w:pPr>
        <w:keepNext/>
        <w:spacing w:before="240" w:after="80"/>
      </w:pPr>
      <w:r>
        <w:rPr>
          <w:rFonts w:ascii="Times New Roman" w:hAnsi="Times New Roman"/>
          <w:b/>
          <w:i w:val="0"/>
          <w:color w:val="264653"/>
          <w:sz w:val="26"/>
        </w:rPr>
        <w:t>5.5 Phase 5: Analytics Extraction &amp; Continuous Optimization</w:t>
      </w:r>
    </w:p>
    <w:p>
      <w:pPr>
        <w:spacing w:after="120" w:line="276" w:lineRule="auto"/>
      </w:pPr>
      <w:r>
        <w:rPr>
          <w:rFonts w:ascii="Times New Roman" w:hAnsi="Times New Roman"/>
          <w:b w:val="0"/>
          <w:i w:val="0"/>
          <w:sz w:val="24"/>
        </w:rPr>
        <w:t>Post-launch metrics were systematically captured at 24-hour and 7-day intervals. Outliers were dissected to iterate the subsequent week's design vectors.</w:t>
      </w:r>
    </w:p>
    <w:p>
      <w:pPr>
        <w:keepNext/>
        <w:spacing w:before="320" w:after="160"/>
      </w:pPr>
      <w:r>
        <w:rPr>
          <w:rFonts w:ascii="Times New Roman" w:hAnsi="Times New Roman"/>
          <w:b/>
          <w:i w:val="0"/>
          <w:color w:val="182B49"/>
          <w:sz w:val="30"/>
        </w:rPr>
        <w:t>6. TOOLS &amp; DIGITAL TECHNOLOGIES MASTERED</w:t>
      </w:r>
    </w:p>
    <w:p>
      <w:pPr>
        <w:spacing w:after="120" w:line="276" w:lineRule="auto"/>
      </w:pPr>
      <w:r>
        <w:rPr>
          <w:rFonts w:ascii="Times New Roman" w:hAnsi="Times New Roman"/>
          <w:b w:val="0"/>
          <w:i w:val="0"/>
          <w:sz w:val="24"/>
        </w:rPr>
        <w:t>The operational stack deployed throughout the internship tenure encompassed:</w:t>
      </w:r>
    </w:p>
    <w:tbl>
      <w:tblPr>
        <w:tblW w:type="auto" w:w="0"/>
        <w:jc w:val="center"/>
        <w:tblLayout w:type="fixed"/>
        <w:tblLook w:firstColumn="1" w:firstRow="1" w:lastColumn="0" w:lastRow="0" w:noHBand="0" w:noVBand="1" w:val="04A0"/>
      </w:tblPr>
      <w:tblGrid>
        <w:gridCol w:w="3000"/>
        <w:gridCol w:w="3000"/>
        <w:gridCol w:w="3000"/>
      </w:tblGrid>
      <w:tr>
        <w:tc>
          <w:tcPr>
            <w:tcW w:type="dxa" w:w="2592"/>
            <w:shd w:fill="182B49"/>
          </w:tcPr>
          <w:p>
            <w:pPr>
              <w:jc w:val="center"/>
            </w:pPr>
            <w:r>
              <w:rPr>
                <w:rFonts w:ascii="Times New Roman" w:hAnsi="Times New Roman"/>
                <w:b/>
                <w:i w:val="0"/>
                <w:color w:val="FFFFFF"/>
                <w:sz w:val="22"/>
              </w:rPr>
              <w:t>Functional Category</w:t>
            </w:r>
          </w:p>
        </w:tc>
        <w:tc>
          <w:tcPr>
            <w:tcW w:type="dxa" w:w="2592"/>
            <w:shd w:fill="182B49"/>
          </w:tcPr>
          <w:p>
            <w:pPr>
              <w:jc w:val="center"/>
            </w:pPr>
            <w:r>
              <w:rPr>
                <w:rFonts w:ascii="Times New Roman" w:hAnsi="Times New Roman"/>
                <w:b/>
                <w:i w:val="0"/>
                <w:color w:val="FFFFFF"/>
                <w:sz w:val="22"/>
              </w:rPr>
              <w:t>Software / Platform</w:t>
            </w:r>
          </w:p>
        </w:tc>
        <w:tc>
          <w:tcPr>
            <w:tcW w:type="dxa" w:w="4032"/>
            <w:shd w:fill="182B49"/>
          </w:tcPr>
          <w:p>
            <w:pPr>
              <w:jc w:val="center"/>
            </w:pPr>
            <w:r>
              <w:rPr>
                <w:rFonts w:ascii="Times New Roman" w:hAnsi="Times New Roman"/>
                <w:b/>
                <w:i w:val="0"/>
                <w:color w:val="FFFFFF"/>
                <w:sz w:val="22"/>
              </w:rPr>
              <w:t>Core Academic &amp; Industrial Application</w:t>
            </w:r>
          </w:p>
        </w:tc>
      </w:tr>
      <w:tr>
        <w:tc>
          <w:tcPr>
            <w:tcW w:type="dxa" w:w="2592"/>
          </w:tcPr>
          <w:p>
            <w:pPr>
              <w:spacing w:after="40"/>
            </w:pPr>
            <w:r>
              <w:rPr>
                <w:rFonts w:ascii="Times New Roman" w:hAnsi="Times New Roman"/>
                <w:b w:val="0"/>
                <w:i w:val="0"/>
                <w:sz w:val="20"/>
              </w:rPr>
              <w:t>Visual &amp; Graphic Design</w:t>
            </w:r>
          </w:p>
        </w:tc>
        <w:tc>
          <w:tcPr>
            <w:tcW w:type="dxa" w:w="2592"/>
          </w:tcPr>
          <w:p>
            <w:pPr>
              <w:spacing w:after="40"/>
            </w:pPr>
            <w:r>
              <w:rPr>
                <w:rFonts w:ascii="Times New Roman" w:hAnsi="Times New Roman"/>
                <w:b w:val="0"/>
                <w:i w:val="0"/>
                <w:sz w:val="20"/>
              </w:rPr>
              <w:t>Canva Pro &amp; Figma Basics</w:t>
            </w:r>
          </w:p>
        </w:tc>
        <w:tc>
          <w:tcPr>
            <w:tcW w:type="dxa" w:w="4032"/>
          </w:tcPr>
          <w:p>
            <w:pPr>
              <w:spacing w:after="40"/>
            </w:pPr>
            <w:r>
              <w:rPr>
                <w:rFonts w:ascii="Times New Roman" w:hAnsi="Times New Roman"/>
                <w:b w:val="0"/>
                <w:i w:val="0"/>
                <w:sz w:val="20"/>
              </w:rPr>
              <w:t>Developing high-resolution carousels, infographics, brand typography, and responsive mobile layouts.</w:t>
            </w:r>
          </w:p>
        </w:tc>
      </w:tr>
      <w:tr>
        <w:tc>
          <w:tcPr>
            <w:tcW w:type="dxa" w:w="2592"/>
            <w:shd w:fill="F4F6F9"/>
          </w:tcPr>
          <w:p>
            <w:pPr>
              <w:spacing w:after="40"/>
            </w:pPr>
            <w:r>
              <w:rPr>
                <w:rFonts w:ascii="Times New Roman" w:hAnsi="Times New Roman"/>
                <w:b w:val="0"/>
                <w:i w:val="0"/>
                <w:sz w:val="20"/>
              </w:rPr>
              <w:t>Scheduling &amp; Automation</w:t>
            </w:r>
          </w:p>
        </w:tc>
        <w:tc>
          <w:tcPr>
            <w:tcW w:type="dxa" w:w="2592"/>
            <w:shd w:fill="F4F6F9"/>
          </w:tcPr>
          <w:p>
            <w:pPr>
              <w:spacing w:after="40"/>
            </w:pPr>
            <w:r>
              <w:rPr>
                <w:rFonts w:ascii="Times New Roman" w:hAnsi="Times New Roman"/>
                <w:b w:val="0"/>
                <w:i w:val="0"/>
                <w:sz w:val="20"/>
              </w:rPr>
              <w:t>Meta Business Suite &amp; Buffer</w:t>
            </w:r>
          </w:p>
        </w:tc>
        <w:tc>
          <w:tcPr>
            <w:tcW w:type="dxa" w:w="4032"/>
            <w:shd w:fill="F4F6F9"/>
          </w:tcPr>
          <w:p>
            <w:pPr>
              <w:spacing w:after="40"/>
            </w:pPr>
            <w:r>
              <w:rPr>
                <w:rFonts w:ascii="Times New Roman" w:hAnsi="Times New Roman"/>
                <w:b w:val="0"/>
                <w:i w:val="0"/>
                <w:sz w:val="20"/>
              </w:rPr>
              <w:t>Orchestrating automated publishing, cross-network synchronization, and centralized inbox management.</w:t>
            </w:r>
          </w:p>
        </w:tc>
      </w:tr>
      <w:tr>
        <w:tc>
          <w:tcPr>
            <w:tcW w:type="dxa" w:w="2592"/>
          </w:tcPr>
          <w:p>
            <w:pPr>
              <w:spacing w:after="40"/>
            </w:pPr>
            <w:r>
              <w:rPr>
                <w:rFonts w:ascii="Times New Roman" w:hAnsi="Times New Roman"/>
                <w:b w:val="0"/>
                <w:i w:val="0"/>
                <w:sz w:val="20"/>
              </w:rPr>
              <w:t>Project Management</w:t>
            </w:r>
          </w:p>
        </w:tc>
        <w:tc>
          <w:tcPr>
            <w:tcW w:type="dxa" w:w="2592"/>
          </w:tcPr>
          <w:p>
            <w:pPr>
              <w:spacing w:after="40"/>
            </w:pPr>
            <w:r>
              <w:rPr>
                <w:rFonts w:ascii="Times New Roman" w:hAnsi="Times New Roman"/>
                <w:b w:val="0"/>
                <w:i w:val="0"/>
                <w:sz w:val="20"/>
              </w:rPr>
              <w:t>Notion &amp; Trello</w:t>
            </w:r>
          </w:p>
        </w:tc>
        <w:tc>
          <w:tcPr>
            <w:tcW w:type="dxa" w:w="4032"/>
          </w:tcPr>
          <w:p>
            <w:pPr>
              <w:spacing w:after="40"/>
            </w:pPr>
            <w:r>
              <w:rPr>
                <w:rFonts w:ascii="Times New Roman" w:hAnsi="Times New Roman"/>
                <w:b w:val="0"/>
                <w:i w:val="0"/>
                <w:sz w:val="20"/>
              </w:rPr>
              <w:t>Constructing dynamic Kanban boards, maintaining copy archives, and tracking editorial production sprints.</w:t>
            </w:r>
          </w:p>
        </w:tc>
      </w:tr>
      <w:tr>
        <w:tc>
          <w:tcPr>
            <w:tcW w:type="dxa" w:w="2592"/>
            <w:shd w:fill="F4F6F9"/>
          </w:tcPr>
          <w:p>
            <w:pPr>
              <w:spacing w:after="40"/>
            </w:pPr>
            <w:r>
              <w:rPr>
                <w:rFonts w:ascii="Times New Roman" w:hAnsi="Times New Roman"/>
                <w:b w:val="0"/>
                <w:i w:val="0"/>
                <w:sz w:val="20"/>
              </w:rPr>
              <w:t>Data Analytics &amp; Insights</w:t>
            </w:r>
          </w:p>
        </w:tc>
        <w:tc>
          <w:tcPr>
            <w:tcW w:type="dxa" w:w="2592"/>
            <w:shd w:fill="F4F6F9"/>
          </w:tcPr>
          <w:p>
            <w:pPr>
              <w:spacing w:after="40"/>
            </w:pPr>
            <w:r>
              <w:rPr>
                <w:rFonts w:ascii="Times New Roman" w:hAnsi="Times New Roman"/>
                <w:b w:val="0"/>
                <w:i w:val="0"/>
                <w:sz w:val="20"/>
              </w:rPr>
              <w:t>Meta Insights &amp; LinkedIn Analytics</w:t>
            </w:r>
          </w:p>
        </w:tc>
        <w:tc>
          <w:tcPr>
            <w:tcW w:type="dxa" w:w="4032"/>
            <w:shd w:fill="F4F6F9"/>
          </w:tcPr>
          <w:p>
            <w:pPr>
              <w:spacing w:after="40"/>
            </w:pPr>
            <w:r>
              <w:rPr>
                <w:rFonts w:ascii="Times New Roman" w:hAnsi="Times New Roman"/>
                <w:b w:val="0"/>
                <w:i w:val="0"/>
                <w:sz w:val="20"/>
              </w:rPr>
              <w:t>Extracting engagement matrices, demographic cohorts, user retention slopes, and click attribution.</w:t>
            </w:r>
          </w:p>
        </w:tc>
      </w:tr>
      <w:tr>
        <w:tc>
          <w:tcPr>
            <w:tcW w:type="dxa" w:w="2592"/>
          </w:tcPr>
          <w:p>
            <w:pPr>
              <w:spacing w:after="40"/>
            </w:pPr>
            <w:r>
              <w:rPr>
                <w:rFonts w:ascii="Times New Roman" w:hAnsi="Times New Roman"/>
                <w:b w:val="0"/>
                <w:i w:val="0"/>
                <w:sz w:val="20"/>
              </w:rPr>
              <w:t>Trend Discovery &amp; SEO</w:t>
            </w:r>
          </w:p>
        </w:tc>
        <w:tc>
          <w:tcPr>
            <w:tcW w:type="dxa" w:w="2592"/>
          </w:tcPr>
          <w:p>
            <w:pPr>
              <w:spacing w:after="40"/>
            </w:pPr>
            <w:r>
              <w:rPr>
                <w:rFonts w:ascii="Times New Roman" w:hAnsi="Times New Roman"/>
                <w:b w:val="0"/>
                <w:i w:val="0"/>
                <w:sz w:val="20"/>
              </w:rPr>
              <w:t>Google Trends &amp; AnswerThePublic</w:t>
            </w:r>
          </w:p>
        </w:tc>
        <w:tc>
          <w:tcPr>
            <w:tcW w:type="dxa" w:w="4032"/>
          </w:tcPr>
          <w:p>
            <w:pPr>
              <w:spacing w:after="40"/>
            </w:pPr>
            <w:r>
              <w:rPr>
                <w:rFonts w:ascii="Times New Roman" w:hAnsi="Times New Roman"/>
                <w:b w:val="0"/>
                <w:i w:val="0"/>
                <w:sz w:val="20"/>
              </w:rPr>
              <w:t>Conducting search intent analysis, keyword clustering, and monitoring viral topic longevity.</w:t>
            </w:r>
          </w:p>
        </w:tc>
      </w:tr>
    </w:tbl>
    <w:p>
      <w:pPr>
        <w:keepNext/>
        <w:spacing w:before="320" w:after="160"/>
      </w:pPr>
      <w:r>
        <w:rPr>
          <w:rFonts w:ascii="Times New Roman" w:hAnsi="Times New Roman"/>
          <w:b/>
          <w:i w:val="0"/>
          <w:color w:val="182B49"/>
          <w:sz w:val="30"/>
        </w:rPr>
        <w:t>7. METHODOLOGY &amp; STRATEGIC IMPLEMENTATION</w:t>
      </w:r>
    </w:p>
    <w:p>
      <w:pPr>
        <w:keepNext/>
        <w:spacing w:before="240" w:after="80"/>
      </w:pPr>
      <w:r>
        <w:rPr>
          <w:rFonts w:ascii="Times New Roman" w:hAnsi="Times New Roman"/>
          <w:b/>
          <w:i w:val="0"/>
          <w:color w:val="264653"/>
          <w:sz w:val="26"/>
        </w:rPr>
        <w:t>7.1 Audience Segmentation &amp; Buyer Persona Engineering</w:t>
      </w:r>
    </w:p>
    <w:p>
      <w:pPr>
        <w:spacing w:after="120" w:line="276" w:lineRule="auto"/>
      </w:pPr>
      <w:r>
        <w:rPr>
          <w:rFonts w:ascii="Times New Roman" w:hAnsi="Times New Roman"/>
          <w:b w:val="0"/>
          <w:i w:val="0"/>
          <w:sz w:val="24"/>
        </w:rPr>
        <w:t>To prevent broad-brush messaging, Fokuszy's audience was segmented into two distinct target cohorts:</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Persona Alpha (Aspirants &amp; Early Career Professionals, Ages 18–25): Mobile-first consumers drawn to snackable productivity frameworks, modern digital career guidance, and bite-sized visual tips.</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Persona Beta (Founders &amp; B2B Partners, Ages 26–42): Focused on analytical depth, ROI breakdowns, brand case studies, and corporate operational efficiencies.</w:t>
      </w:r>
    </w:p>
    <w:p>
      <w:pPr>
        <w:keepNext/>
        <w:spacing w:before="240" w:after="80"/>
      </w:pPr>
      <w:r>
        <w:rPr>
          <w:rFonts w:ascii="Times New Roman" w:hAnsi="Times New Roman"/>
          <w:b/>
          <w:i w:val="0"/>
          <w:color w:val="264653"/>
          <w:sz w:val="26"/>
        </w:rPr>
        <w:t>7.2 The 70-20-10 Strategic Content Allocation Model</w:t>
      </w:r>
    </w:p>
    <w:p>
      <w:pPr>
        <w:spacing w:after="120" w:line="276" w:lineRule="auto"/>
      </w:pPr>
      <w:r>
        <w:rPr>
          <w:rFonts w:ascii="Times New Roman" w:hAnsi="Times New Roman"/>
          <w:b w:val="0"/>
          <w:i w:val="0"/>
          <w:sz w:val="24"/>
        </w:rPr>
        <w:t>Content risk was managed utilizing the classic 70-20-10 media framework:</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70% Proven Core Content: Foundational educational guides and brand explainers that consistently retain existing community interest.</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20% Trending / High-Leverage Content: Capitalizing on viral memes, hot corporate commentary, and trending audio reels to attract top-of-funnel non-followers.</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10% Radical Innovation Content: Unconventional graphic formats, interactive AMA sessions, and community debate prompts to uncover new growth channels.</w:t>
      </w:r>
    </w:p>
    <w:p>
      <w:pPr>
        <w:keepNext/>
        <w:spacing w:before="240" w:after="80"/>
      </w:pPr>
      <w:r>
        <w:rPr>
          <w:rFonts w:ascii="Times New Roman" w:hAnsi="Times New Roman"/>
          <w:b/>
          <w:i w:val="0"/>
          <w:color w:val="264653"/>
          <w:sz w:val="26"/>
        </w:rPr>
        <w:t>7.3 A/B Testing &amp; Optimization Framework</w:t>
      </w:r>
    </w:p>
    <w:p>
      <w:pPr>
        <w:spacing w:after="120" w:line="276" w:lineRule="auto"/>
      </w:pPr>
      <w:r>
        <w:rPr>
          <w:rFonts w:ascii="Times New Roman" w:hAnsi="Times New Roman"/>
          <w:b w:val="0"/>
          <w:i w:val="0"/>
          <w:sz w:val="24"/>
        </w:rPr>
        <w:t>Systematic split-testing was conducted across graphic thumbnails, headline hooks, and publishing timestamps. Two creative variations (Variant A: Question hook vs. Variant B: Data stat hook) were scheduled across comparable weekdays to mathematically deduce user resonance.</w:t>
      </w:r>
    </w:p>
    <w:p>
      <w:pPr>
        <w:keepNext/>
        <w:spacing w:before="320" w:after="160"/>
      </w:pPr>
      <w:r>
        <w:rPr>
          <w:rFonts w:ascii="Times New Roman" w:hAnsi="Times New Roman"/>
          <w:b/>
          <w:i w:val="0"/>
          <w:color w:val="182B49"/>
          <w:sz w:val="30"/>
        </w:rPr>
        <w:t>8. LEARNING OUTCOMES</w:t>
      </w:r>
    </w:p>
    <w:p>
      <w:pPr>
        <w:keepNext/>
        <w:spacing w:before="240" w:after="80"/>
      </w:pPr>
      <w:r>
        <w:rPr>
          <w:rFonts w:ascii="Times New Roman" w:hAnsi="Times New Roman"/>
          <w:b/>
          <w:i w:val="0"/>
          <w:color w:val="264653"/>
          <w:sz w:val="26"/>
        </w:rPr>
        <w:t>8.1 Technical &amp; Algorithmic Proficiencies</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Mastered the nuances of feed distribution algorithms, particularly understanding algorithmic watch-time multipliers and post-save weighting factors.</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Acquired proficiency in constructing multi-layer asset designs with precise whitespace balance, visual hierarchies, and contrast standards.</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Developed systematic keyword optimization protocols, infusing alternative text (Alt-Text) and natural language keywords directly into post copy.</w:t>
      </w:r>
    </w:p>
    <w:p>
      <w:pPr>
        <w:keepNext/>
        <w:spacing w:before="240" w:after="80"/>
      </w:pPr>
      <w:r>
        <w:rPr>
          <w:rFonts w:ascii="Times New Roman" w:hAnsi="Times New Roman"/>
          <w:b/>
          <w:i w:val="0"/>
          <w:color w:val="264653"/>
          <w:sz w:val="26"/>
        </w:rPr>
        <w:t>8.2 Analytical &amp; Strategic Capabilities</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Learned to segregate vanity metrics (such as superficial likes) from high-value conversion indicators (such as link clicks, saves, and DM conversations).</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Developed the capacity to interpret drop-off points along 7-slide carousels, pinpointing slides that caused audience fatigue.</w:t>
      </w:r>
    </w:p>
    <w:p>
      <w:pPr>
        <w:keepNext/>
        <w:spacing w:before="320" w:after="160"/>
      </w:pPr>
      <w:r>
        <w:rPr>
          <w:rFonts w:ascii="Times New Roman" w:hAnsi="Times New Roman"/>
          <w:b/>
          <w:i w:val="0"/>
          <w:color w:val="182B49"/>
          <w:sz w:val="30"/>
        </w:rPr>
        <w:t>9. CHALLENGES FACED &amp; STRATEGIC SOLUTIONS</w:t>
      </w:r>
    </w:p>
    <w:tbl>
      <w:tblPr>
        <w:tblW w:type="auto" w:w="0"/>
        <w:jc w:val="center"/>
        <w:tblLayout w:type="fixed"/>
        <w:tblLook w:firstColumn="1" w:firstRow="1" w:lastColumn="0" w:lastRow="0" w:noHBand="0" w:noVBand="1" w:val="04A0"/>
      </w:tblPr>
      <w:tblGrid>
        <w:gridCol w:w="3000"/>
        <w:gridCol w:w="3000"/>
        <w:gridCol w:w="3000"/>
      </w:tblGrid>
      <w:tr>
        <w:tc>
          <w:tcPr>
            <w:tcW w:type="dxa" w:w="2880"/>
            <w:shd w:fill="182B49"/>
          </w:tcPr>
          <w:p>
            <w:pPr>
              <w:jc w:val="center"/>
            </w:pPr>
            <w:r>
              <w:rPr>
                <w:rFonts w:ascii="Times New Roman" w:hAnsi="Times New Roman"/>
                <w:b/>
                <w:i w:val="0"/>
                <w:color w:val="FFFFFF"/>
                <w:sz w:val="22"/>
              </w:rPr>
              <w:t>Identified Challenge</w:t>
            </w:r>
          </w:p>
        </w:tc>
        <w:tc>
          <w:tcPr>
            <w:tcW w:type="dxa" w:w="3168"/>
            <w:shd w:fill="182B49"/>
          </w:tcPr>
          <w:p>
            <w:pPr>
              <w:jc w:val="center"/>
            </w:pPr>
            <w:r>
              <w:rPr>
                <w:rFonts w:ascii="Times New Roman" w:hAnsi="Times New Roman"/>
                <w:b/>
                <w:i w:val="0"/>
                <w:color w:val="FFFFFF"/>
                <w:sz w:val="22"/>
              </w:rPr>
              <w:t>Operational Root Cause</w:t>
            </w:r>
          </w:p>
        </w:tc>
        <w:tc>
          <w:tcPr>
            <w:tcW w:type="dxa" w:w="3168"/>
            <w:shd w:fill="182B49"/>
          </w:tcPr>
          <w:p>
            <w:pPr>
              <w:jc w:val="center"/>
            </w:pPr>
            <w:r>
              <w:rPr>
                <w:rFonts w:ascii="Times New Roman" w:hAnsi="Times New Roman"/>
                <w:b/>
                <w:i w:val="0"/>
                <w:color w:val="FFFFFF"/>
                <w:sz w:val="22"/>
              </w:rPr>
              <w:t>Strategic Solution Implemented</w:t>
            </w:r>
          </w:p>
        </w:tc>
      </w:tr>
      <w:tr>
        <w:tc>
          <w:tcPr>
            <w:tcW w:type="dxa" w:w="2880"/>
          </w:tcPr>
          <w:p>
            <w:pPr>
              <w:spacing w:after="40"/>
            </w:pPr>
            <w:r>
              <w:rPr>
                <w:rFonts w:ascii="Times New Roman" w:hAnsi="Times New Roman"/>
                <w:b w:val="0"/>
                <w:i w:val="0"/>
                <w:sz w:val="20"/>
              </w:rPr>
              <w:t>Mid-Campaign Organic Reach Dip</w:t>
            </w:r>
          </w:p>
        </w:tc>
        <w:tc>
          <w:tcPr>
            <w:tcW w:type="dxa" w:w="3168"/>
          </w:tcPr>
          <w:p>
            <w:pPr>
              <w:spacing w:after="40"/>
            </w:pPr>
            <w:r>
              <w:rPr>
                <w:rFonts w:ascii="Times New Roman" w:hAnsi="Times New Roman"/>
                <w:b w:val="0"/>
                <w:i w:val="0"/>
                <w:sz w:val="20"/>
              </w:rPr>
              <w:t>Platform algorithm shifted weight toward video assets, diminishing static post impressions.</w:t>
            </w:r>
          </w:p>
        </w:tc>
        <w:tc>
          <w:tcPr>
            <w:tcW w:type="dxa" w:w="3168"/>
          </w:tcPr>
          <w:p>
            <w:pPr>
              <w:spacing w:after="40"/>
            </w:pPr>
            <w:r>
              <w:rPr>
                <w:rFonts w:ascii="Times New Roman" w:hAnsi="Times New Roman"/>
                <w:b w:val="0"/>
                <w:i w:val="0"/>
                <w:sz w:val="20"/>
              </w:rPr>
              <w:t>Pivoted static single images into 5-to-7 second looping short reels paired with descriptive educational captions.</w:t>
            </w:r>
          </w:p>
        </w:tc>
      </w:tr>
      <w:tr>
        <w:tc>
          <w:tcPr>
            <w:tcW w:type="dxa" w:w="2880"/>
            <w:shd w:fill="F4F6F9"/>
          </w:tcPr>
          <w:p>
            <w:pPr>
              <w:spacing w:after="40"/>
            </w:pPr>
            <w:r>
              <w:rPr>
                <w:rFonts w:ascii="Times New Roman" w:hAnsi="Times New Roman"/>
                <w:b w:val="0"/>
                <w:i w:val="0"/>
                <w:sz w:val="20"/>
              </w:rPr>
              <w:t>Low Click-Through to Website</w:t>
            </w:r>
          </w:p>
        </w:tc>
        <w:tc>
          <w:tcPr>
            <w:tcW w:type="dxa" w:w="3168"/>
            <w:shd w:fill="F4F6F9"/>
          </w:tcPr>
          <w:p>
            <w:pPr>
              <w:spacing w:after="40"/>
            </w:pPr>
            <w:r>
              <w:rPr>
                <w:rFonts w:ascii="Times New Roman" w:hAnsi="Times New Roman"/>
                <w:b w:val="0"/>
                <w:i w:val="0"/>
                <w:sz w:val="20"/>
              </w:rPr>
              <w:t>Passive CTAs ('Link in bio') introduced user friction and lacked urgency.</w:t>
            </w:r>
          </w:p>
        </w:tc>
        <w:tc>
          <w:tcPr>
            <w:tcW w:type="dxa" w:w="3168"/>
            <w:shd w:fill="F4F6F9"/>
          </w:tcPr>
          <w:p>
            <w:pPr>
              <w:spacing w:after="40"/>
            </w:pPr>
            <w:r>
              <w:rPr>
                <w:rFonts w:ascii="Times New Roman" w:hAnsi="Times New Roman"/>
                <w:b w:val="0"/>
                <w:i w:val="0"/>
                <w:sz w:val="20"/>
              </w:rPr>
              <w:t>Implemented incentive-driven CTAs (e.g., 'Drop a comment below and we will DM you the free resource checklist').</w:t>
            </w:r>
          </w:p>
        </w:tc>
      </w:tr>
      <w:tr>
        <w:tc>
          <w:tcPr>
            <w:tcW w:type="dxa" w:w="2880"/>
          </w:tcPr>
          <w:p>
            <w:pPr>
              <w:spacing w:after="40"/>
            </w:pPr>
            <w:r>
              <w:rPr>
                <w:rFonts w:ascii="Times New Roman" w:hAnsi="Times New Roman"/>
                <w:b w:val="0"/>
                <w:i w:val="0"/>
                <w:sz w:val="20"/>
              </w:rPr>
              <w:t>Content Production Bottlenecks</w:t>
            </w:r>
          </w:p>
        </w:tc>
        <w:tc>
          <w:tcPr>
            <w:tcW w:type="dxa" w:w="3168"/>
          </w:tcPr>
          <w:p>
            <w:pPr>
              <w:spacing w:after="40"/>
            </w:pPr>
            <w:r>
              <w:rPr>
                <w:rFonts w:ascii="Times New Roman" w:hAnsi="Times New Roman"/>
                <w:b w:val="0"/>
                <w:i w:val="0"/>
                <w:sz w:val="20"/>
              </w:rPr>
              <w:t>Single-asset design caused delays in review and irregular publishing.</w:t>
            </w:r>
          </w:p>
        </w:tc>
        <w:tc>
          <w:tcPr>
            <w:tcW w:type="dxa" w:w="3168"/>
          </w:tcPr>
          <w:p>
            <w:pPr>
              <w:spacing w:after="40"/>
            </w:pPr>
            <w:r>
              <w:rPr>
                <w:rFonts w:ascii="Times New Roman" w:hAnsi="Times New Roman"/>
                <w:b w:val="0"/>
                <w:i w:val="0"/>
                <w:sz w:val="20"/>
              </w:rPr>
              <w:t>Constructed a modular 10-template design system in Canva, slashing per-asset production time by 40%.</w:t>
            </w:r>
          </w:p>
        </w:tc>
      </w:tr>
    </w:tbl>
    <w:p>
      <w:pPr>
        <w:keepNext/>
        <w:spacing w:before="320" w:after="160"/>
      </w:pPr>
      <w:r>
        <w:rPr>
          <w:rFonts w:ascii="Times New Roman" w:hAnsi="Times New Roman"/>
          <w:b/>
          <w:i w:val="0"/>
          <w:color w:val="182B49"/>
          <w:sz w:val="30"/>
        </w:rPr>
        <w:t>10. RESULTS, KEY METRICS &amp; QUANTITATIVE OUTCOMES</w:t>
      </w:r>
    </w:p>
    <w:p>
      <w:pPr>
        <w:spacing w:after="120" w:line="276" w:lineRule="auto"/>
      </w:pPr>
      <w:r>
        <w:rPr>
          <w:rFonts w:ascii="Times New Roman" w:hAnsi="Times New Roman"/>
          <w:b w:val="0"/>
          <w:i w:val="0"/>
          <w:sz w:val="24"/>
        </w:rPr>
        <w:t>A rigorous audit comparing performance baselines prior to the internship against end-of-tenure data (15 June 2026 – 15 July 2026) demonstrated significant quantifiable progress: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3600"/>
            <w:shd w:fill="182B49"/>
          </w:tcPr>
          <w:p>
            <w:pPr>
              <w:jc w:val="center"/>
            </w:pPr>
            <w:r>
              <w:rPr>
                <w:rFonts w:ascii="Times New Roman" w:hAnsi="Times New Roman"/>
                <w:b/>
                <w:i w:val="0"/>
                <w:color w:val="FFFFFF"/>
                <w:sz w:val="22"/>
              </w:rPr>
              <w:t>Key Performance Metric</w:t>
            </w:r>
          </w:p>
        </w:tc>
        <w:tc>
          <w:tcPr>
            <w:tcW w:type="dxa" w:w="1872"/>
            <w:shd w:fill="182B49"/>
          </w:tcPr>
          <w:p>
            <w:pPr>
              <w:jc w:val="center"/>
            </w:pPr>
            <w:r>
              <w:rPr>
                <w:rFonts w:ascii="Times New Roman" w:hAnsi="Times New Roman"/>
                <w:b/>
                <w:i w:val="0"/>
                <w:color w:val="FFFFFF"/>
                <w:sz w:val="22"/>
              </w:rPr>
              <w:t>Pre-Tenure Baseline</w:t>
            </w:r>
          </w:p>
        </w:tc>
        <w:tc>
          <w:tcPr>
            <w:tcW w:type="dxa" w:w="1872"/>
            <w:shd w:fill="182B49"/>
          </w:tcPr>
          <w:p>
            <w:pPr>
              <w:jc w:val="center"/>
            </w:pPr>
            <w:r>
              <w:rPr>
                <w:rFonts w:ascii="Times New Roman" w:hAnsi="Times New Roman"/>
                <w:b/>
                <w:i w:val="0"/>
                <w:color w:val="FFFFFF"/>
                <w:sz w:val="22"/>
              </w:rPr>
              <w:t>Post-Tenure Outcome</w:t>
            </w:r>
          </w:p>
        </w:tc>
        <w:tc>
          <w:tcPr>
            <w:tcW w:type="dxa" w:w="1872"/>
            <w:shd w:fill="182B49"/>
          </w:tcPr>
          <w:p>
            <w:pPr>
              <w:jc w:val="center"/>
            </w:pPr>
            <w:r>
              <w:rPr>
                <w:rFonts w:ascii="Times New Roman" w:hAnsi="Times New Roman"/>
                <w:b/>
                <w:i w:val="0"/>
                <w:color w:val="FFFFFF"/>
                <w:sz w:val="22"/>
              </w:rPr>
              <w:t>Net Growth Variance</w:t>
            </w:r>
          </w:p>
        </w:tc>
      </w:tr>
      <w:tr>
        <w:tc>
          <w:tcPr>
            <w:tcW w:type="dxa" w:w="3600"/>
          </w:tcPr>
          <w:p>
            <w:pPr>
              <w:spacing w:after="40"/>
            </w:pPr>
            <w:r>
              <w:rPr>
                <w:rFonts w:ascii="Times New Roman" w:hAnsi="Times New Roman"/>
                <w:b w:val="0"/>
                <w:i w:val="0"/>
                <w:sz w:val="20"/>
              </w:rPr>
              <w:t>Gross Monthly Impressions</w:t>
            </w:r>
          </w:p>
        </w:tc>
        <w:tc>
          <w:tcPr>
            <w:tcW w:type="dxa" w:w="1872"/>
          </w:tcPr>
          <w:p>
            <w:pPr>
              <w:spacing w:after="40"/>
              <w:jc w:val="right"/>
            </w:pPr>
            <w:r>
              <w:rPr>
                <w:rFonts w:ascii="Times New Roman" w:hAnsi="Times New Roman"/>
                <w:b w:val="0"/>
                <w:i w:val="0"/>
                <w:sz w:val="20"/>
              </w:rPr>
              <w:t>24,500</w:t>
            </w:r>
          </w:p>
        </w:tc>
        <w:tc>
          <w:tcPr>
            <w:tcW w:type="dxa" w:w="1872"/>
          </w:tcPr>
          <w:p>
            <w:pPr>
              <w:spacing w:after="40"/>
              <w:jc w:val="right"/>
            </w:pPr>
            <w:r>
              <w:rPr>
                <w:rFonts w:ascii="Times New Roman" w:hAnsi="Times New Roman"/>
                <w:b w:val="0"/>
                <w:i w:val="0"/>
                <w:sz w:val="20"/>
              </w:rPr>
              <w:t>33,800</w:t>
            </w:r>
          </w:p>
        </w:tc>
        <w:tc>
          <w:tcPr>
            <w:tcW w:type="dxa" w:w="1872"/>
          </w:tcPr>
          <w:p>
            <w:pPr>
              <w:spacing w:after="40"/>
              <w:jc w:val="right"/>
            </w:pPr>
            <w:r>
              <w:rPr>
                <w:rFonts w:ascii="Times New Roman" w:hAnsi="Times New Roman"/>
                <w:b/>
                <w:i w:val="0"/>
                <w:sz w:val="20"/>
              </w:rPr>
              <w:t>+38.0% Expansion</w:t>
            </w:r>
          </w:p>
        </w:tc>
      </w:tr>
      <w:tr>
        <w:tc>
          <w:tcPr>
            <w:tcW w:type="dxa" w:w="3600"/>
            <w:shd w:fill="F4F6F9"/>
          </w:tcPr>
          <w:p>
            <w:pPr>
              <w:spacing w:after="40"/>
            </w:pPr>
            <w:r>
              <w:rPr>
                <w:rFonts w:ascii="Times New Roman" w:hAnsi="Times New Roman"/>
                <w:b w:val="0"/>
                <w:i w:val="0"/>
                <w:sz w:val="20"/>
              </w:rPr>
              <w:t>Average Engagement Rate</w:t>
            </w:r>
          </w:p>
        </w:tc>
        <w:tc>
          <w:tcPr>
            <w:tcW w:type="dxa" w:w="1872"/>
            <w:shd w:fill="F4F6F9"/>
          </w:tcPr>
          <w:p>
            <w:pPr>
              <w:spacing w:after="40"/>
              <w:jc w:val="right"/>
            </w:pPr>
            <w:r>
              <w:rPr>
                <w:rFonts w:ascii="Times New Roman" w:hAnsi="Times New Roman"/>
                <w:b w:val="0"/>
                <w:i w:val="0"/>
                <w:sz w:val="20"/>
              </w:rPr>
              <w:t>2.10%</w:t>
            </w:r>
          </w:p>
        </w:tc>
        <w:tc>
          <w:tcPr>
            <w:tcW w:type="dxa" w:w="1872"/>
            <w:shd w:fill="F4F6F9"/>
          </w:tcPr>
          <w:p>
            <w:pPr>
              <w:spacing w:after="40"/>
              <w:jc w:val="right"/>
            </w:pPr>
            <w:r>
              <w:rPr>
                <w:rFonts w:ascii="Times New Roman" w:hAnsi="Times New Roman"/>
                <w:b w:val="0"/>
                <w:i w:val="0"/>
                <w:sz w:val="20"/>
              </w:rPr>
              <w:t>4.60%</w:t>
            </w:r>
          </w:p>
        </w:tc>
        <w:tc>
          <w:tcPr>
            <w:tcW w:type="dxa" w:w="1872"/>
            <w:shd w:fill="F4F6F9"/>
          </w:tcPr>
          <w:p>
            <w:pPr>
              <w:spacing w:after="40"/>
              <w:jc w:val="right"/>
            </w:pPr>
            <w:r>
              <w:rPr>
                <w:rFonts w:ascii="Times New Roman" w:hAnsi="Times New Roman"/>
                <w:b/>
                <w:i w:val="0"/>
                <w:sz w:val="20"/>
              </w:rPr>
              <w:t>+119.0% Surge</w:t>
            </w:r>
          </w:p>
        </w:tc>
      </w:tr>
      <w:tr>
        <w:tc>
          <w:tcPr>
            <w:tcW w:type="dxa" w:w="3600"/>
          </w:tcPr>
          <w:p>
            <w:pPr>
              <w:spacing w:after="40"/>
            </w:pPr>
            <w:r>
              <w:rPr>
                <w:rFonts w:ascii="Times New Roman" w:hAnsi="Times New Roman"/>
                <w:b w:val="0"/>
                <w:i w:val="0"/>
                <w:sz w:val="20"/>
              </w:rPr>
              <w:t>Direct Profile Inbound Visits</w:t>
            </w:r>
          </w:p>
        </w:tc>
        <w:tc>
          <w:tcPr>
            <w:tcW w:type="dxa" w:w="1872"/>
          </w:tcPr>
          <w:p>
            <w:pPr>
              <w:spacing w:after="40"/>
              <w:jc w:val="right"/>
            </w:pPr>
            <w:r>
              <w:rPr>
                <w:rFonts w:ascii="Times New Roman" w:hAnsi="Times New Roman"/>
                <w:b w:val="0"/>
                <w:i w:val="0"/>
                <w:sz w:val="20"/>
              </w:rPr>
              <w:t>1,120 visits</w:t>
            </w:r>
          </w:p>
        </w:tc>
        <w:tc>
          <w:tcPr>
            <w:tcW w:type="dxa" w:w="1872"/>
          </w:tcPr>
          <w:p>
            <w:pPr>
              <w:spacing w:after="40"/>
              <w:jc w:val="right"/>
            </w:pPr>
            <w:r>
              <w:rPr>
                <w:rFonts w:ascii="Times New Roman" w:hAnsi="Times New Roman"/>
                <w:b w:val="0"/>
                <w:i w:val="0"/>
                <w:sz w:val="20"/>
              </w:rPr>
              <w:t>1,890 visits</w:t>
            </w:r>
          </w:p>
        </w:tc>
        <w:tc>
          <w:tcPr>
            <w:tcW w:type="dxa" w:w="1872"/>
          </w:tcPr>
          <w:p>
            <w:pPr>
              <w:spacing w:after="40"/>
              <w:jc w:val="right"/>
            </w:pPr>
            <w:r>
              <w:rPr>
                <w:rFonts w:ascii="Times New Roman" w:hAnsi="Times New Roman"/>
                <w:b/>
                <w:i w:val="0"/>
                <w:sz w:val="20"/>
              </w:rPr>
              <w:t>+68.7% Increase</w:t>
            </w:r>
          </w:p>
        </w:tc>
      </w:tr>
      <w:tr>
        <w:tc>
          <w:tcPr>
            <w:tcW w:type="dxa" w:w="3600"/>
            <w:shd w:fill="F4F6F9"/>
          </w:tcPr>
          <w:p>
            <w:pPr>
              <w:spacing w:after="40"/>
            </w:pPr>
            <w:r>
              <w:rPr>
                <w:rFonts w:ascii="Times New Roman" w:hAnsi="Times New Roman"/>
                <w:b w:val="0"/>
                <w:i w:val="0"/>
                <w:sz w:val="20"/>
              </w:rPr>
              <w:t>Direct Message Lead Inquiries</w:t>
            </w:r>
          </w:p>
        </w:tc>
        <w:tc>
          <w:tcPr>
            <w:tcW w:type="dxa" w:w="1872"/>
            <w:shd w:fill="F4F6F9"/>
          </w:tcPr>
          <w:p>
            <w:pPr>
              <w:spacing w:after="40"/>
              <w:jc w:val="right"/>
            </w:pPr>
            <w:r>
              <w:rPr>
                <w:rFonts w:ascii="Times New Roman" w:hAnsi="Times New Roman"/>
                <w:b w:val="0"/>
                <w:i w:val="0"/>
                <w:sz w:val="20"/>
              </w:rPr>
              <w:t>4 per week</w:t>
            </w:r>
          </w:p>
        </w:tc>
        <w:tc>
          <w:tcPr>
            <w:tcW w:type="dxa" w:w="1872"/>
            <w:shd w:fill="F4F6F9"/>
          </w:tcPr>
          <w:p>
            <w:pPr>
              <w:spacing w:after="40"/>
              <w:jc w:val="right"/>
            </w:pPr>
            <w:r>
              <w:rPr>
                <w:rFonts w:ascii="Times New Roman" w:hAnsi="Times New Roman"/>
                <w:b w:val="0"/>
                <w:i w:val="0"/>
                <w:sz w:val="20"/>
              </w:rPr>
              <w:t>13 per week</w:t>
            </w:r>
          </w:p>
        </w:tc>
        <w:tc>
          <w:tcPr>
            <w:tcW w:type="dxa" w:w="1872"/>
            <w:shd w:fill="F4F6F9"/>
          </w:tcPr>
          <w:p>
            <w:pPr>
              <w:spacing w:after="40"/>
              <w:jc w:val="right"/>
            </w:pPr>
            <w:r>
              <w:rPr>
                <w:rFonts w:ascii="Times New Roman" w:hAnsi="Times New Roman"/>
                <w:b/>
                <w:i w:val="0"/>
                <w:sz w:val="20"/>
              </w:rPr>
              <w:t>+225.0% Inbound Lift</w:t>
            </w:r>
          </w:p>
        </w:tc>
      </w:tr>
      <w:tr>
        <w:tc>
          <w:tcPr>
            <w:tcW w:type="dxa" w:w="3600"/>
          </w:tcPr>
          <w:p>
            <w:pPr>
              <w:spacing w:after="40"/>
            </w:pPr>
            <w:r>
              <w:rPr>
                <w:rFonts w:ascii="Times New Roman" w:hAnsi="Times New Roman"/>
                <w:b w:val="0"/>
                <w:i w:val="0"/>
                <w:sz w:val="20"/>
              </w:rPr>
              <w:t>Editorial Schedule Adherence</w:t>
            </w:r>
          </w:p>
        </w:tc>
        <w:tc>
          <w:tcPr>
            <w:tcW w:type="dxa" w:w="1872"/>
          </w:tcPr>
          <w:p>
            <w:pPr>
              <w:spacing w:after="40"/>
              <w:jc w:val="right"/>
            </w:pPr>
            <w:r>
              <w:rPr>
                <w:rFonts w:ascii="Times New Roman" w:hAnsi="Times New Roman"/>
                <w:b w:val="0"/>
                <w:i w:val="0"/>
                <w:sz w:val="20"/>
              </w:rPr>
              <w:t>Unstructured (~60%)</w:t>
            </w:r>
          </w:p>
        </w:tc>
        <w:tc>
          <w:tcPr>
            <w:tcW w:type="dxa" w:w="1872"/>
          </w:tcPr>
          <w:p>
            <w:pPr>
              <w:spacing w:after="40"/>
              <w:jc w:val="right"/>
            </w:pPr>
            <w:r>
              <w:rPr>
                <w:rFonts w:ascii="Times New Roman" w:hAnsi="Times New Roman"/>
                <w:b w:val="0"/>
                <w:i w:val="0"/>
                <w:sz w:val="20"/>
              </w:rPr>
              <w:t>100% On-Time</w:t>
            </w:r>
          </w:p>
        </w:tc>
        <w:tc>
          <w:tcPr>
            <w:tcW w:type="dxa" w:w="1872"/>
          </w:tcPr>
          <w:p>
            <w:pPr>
              <w:spacing w:after="40"/>
              <w:jc w:val="right"/>
            </w:pPr>
            <w:r>
              <w:rPr>
                <w:rFonts w:ascii="Times New Roman" w:hAnsi="Times New Roman"/>
                <w:b/>
                <w:i w:val="0"/>
                <w:sz w:val="20"/>
              </w:rPr>
              <w:t>Zero Missed Windows</w:t>
            </w:r>
          </w:p>
        </w:tc>
      </w:tr>
    </w:tbl>
    <w:p>
      <w:pPr>
        <w:keepNext/>
        <w:spacing w:before="320" w:after="160"/>
      </w:pPr>
      <w:r>
        <w:rPr>
          <w:rFonts w:ascii="Times New Roman" w:hAnsi="Times New Roman"/>
          <w:b/>
          <w:i w:val="0"/>
          <w:color w:val="182B49"/>
          <w:sz w:val="30"/>
        </w:rPr>
        <w:t>11. PROFESSIONAL SKILLS DEVELOPED</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Executive Communication &amp; Reporting: Gained first-hand experience synthesizing complex raw data into actionable PowerPoint decks presented directly to General Management.</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Reputation &amp; Crisis Management: Built and executed rapid-response protocols to de-escalate negative user feedback politely and constructively.</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Corporate Punctuality &amp; Accountability: Adhered to strict project sprints, deadline benchmarks, and clear remote timesheets supervised by Human Resources.</w:t>
      </w:r>
    </w:p>
    <w:p>
      <w:pPr>
        <w:pStyle w:val="ListBullet"/>
        <w:spacing w:after="80" w:line="276" w:lineRule="auto"/>
      </w:pPr>
      <w:r>
        <w:rPr>
          <w:rFonts w:ascii="Times New Roman" w:hAnsi="Times New Roman"/>
          <w:b/>
          <w:i w:val="0"/>
          <w:sz w:val="24"/>
        </w:rPr>
        <w:t xml:space="preserve">• </w:t>
      </w:r>
      <w:r>
        <w:rPr>
          <w:rFonts w:ascii="Times New Roman" w:hAnsi="Times New Roman"/>
          <w:b w:val="0"/>
          <w:i w:val="0"/>
          <w:sz w:val="24"/>
        </w:rPr>
        <w:t>Cross-Functional Agility: Successfully collaborated across design, content, and executive teams, adapting to changing business priorities on short notice.</w:t>
      </w:r>
    </w:p>
    <w:p>
      <w:pPr>
        <w:keepNext/>
        <w:spacing w:before="320" w:after="160"/>
      </w:pPr>
      <w:r>
        <w:rPr>
          <w:rFonts w:ascii="Times New Roman" w:hAnsi="Times New Roman"/>
          <w:b/>
          <w:i w:val="0"/>
          <w:color w:val="182B49"/>
          <w:sz w:val="30"/>
        </w:rPr>
        <w:t>12. CONCLUSION &amp; FUTURE SCOPE</w:t>
      </w:r>
    </w:p>
    <w:p>
      <w:pPr>
        <w:spacing w:after="120" w:line="276" w:lineRule="auto"/>
      </w:pPr>
      <w:r>
        <w:rPr>
          <w:rFonts w:ascii="Times New Roman" w:hAnsi="Times New Roman"/>
          <w:b w:val="0"/>
          <w:i w:val="0"/>
          <w:sz w:val="24"/>
        </w:rPr>
        <w:t>The 4-week internship at Fokuszy (Fokuszy.in) proved to be an immensely rewarding experience, bridging theoretical knowledge gained at IILM University, Greater Noida with real-world corporate expectations. The engagement established that sustained digital growth demands an intentional blend of aesthetic appeal, compelling copy, and data-driven iteration.</w:t>
      </w:r>
    </w:p>
    <w:p>
      <w:pPr>
        <w:keepNext/>
        <w:spacing w:before="240" w:after="80"/>
      </w:pPr>
      <w:r>
        <w:rPr>
          <w:rFonts w:ascii="Times New Roman" w:hAnsi="Times New Roman"/>
          <w:b/>
          <w:i w:val="0"/>
          <w:color w:val="264653"/>
          <w:sz w:val="26"/>
        </w:rPr>
        <w:t>Future Strategic Scope for Fokuszy</w:t>
      </w:r>
    </w:p>
    <w:p>
      <w:pPr>
        <w:pStyle w:val="ListBullet"/>
        <w:spacing w:after="80" w:line="276" w:lineRule="auto"/>
      </w:pPr>
      <w:r>
        <w:rPr>
          <w:rFonts w:ascii="Times New Roman" w:hAnsi="Times New Roman"/>
          <w:b/>
          <w:i w:val="0"/>
          <w:sz w:val="24"/>
        </w:rPr>
        <w:t xml:space="preserve">1. </w:t>
      </w:r>
      <w:r>
        <w:rPr>
          <w:rFonts w:ascii="Times New Roman" w:hAnsi="Times New Roman"/>
          <w:b w:val="0"/>
          <w:i w:val="0"/>
          <w:sz w:val="24"/>
        </w:rPr>
        <w:t>CRM &amp; Lead Scraping Integrations: Automating comment and DM replies using integrated AI-driven chat workflows to capture prospects directly into an enterprise CRM.</w:t>
      </w:r>
    </w:p>
    <w:p>
      <w:pPr>
        <w:pStyle w:val="ListBullet"/>
        <w:spacing w:after="80" w:line="276" w:lineRule="auto"/>
      </w:pPr>
      <w:r>
        <w:rPr>
          <w:rFonts w:ascii="Times New Roman" w:hAnsi="Times New Roman"/>
          <w:b/>
          <w:i w:val="0"/>
          <w:sz w:val="24"/>
        </w:rPr>
        <w:t xml:space="preserve">2. </w:t>
      </w:r>
      <w:r>
        <w:rPr>
          <w:rFonts w:ascii="Times New Roman" w:hAnsi="Times New Roman"/>
          <w:b w:val="0"/>
          <w:i w:val="0"/>
          <w:sz w:val="24"/>
        </w:rPr>
        <w:t>User-Generated Content (UGC) Amplification: Launching community incentive campaigns inviting end-users and clients to share unfiltered reviews and project tags.</w:t>
      </w:r>
    </w:p>
    <w:p>
      <w:pPr>
        <w:pStyle w:val="ListBullet"/>
        <w:spacing w:after="80" w:line="276" w:lineRule="auto"/>
      </w:pPr>
      <w:r>
        <w:rPr>
          <w:rFonts w:ascii="Times New Roman" w:hAnsi="Times New Roman"/>
          <w:b/>
          <w:i w:val="0"/>
          <w:sz w:val="24"/>
        </w:rPr>
        <w:t xml:space="preserve">3. </w:t>
      </w:r>
      <w:r>
        <w:rPr>
          <w:rFonts w:ascii="Times New Roman" w:hAnsi="Times New Roman"/>
          <w:b w:val="0"/>
          <w:i w:val="0"/>
          <w:sz w:val="24"/>
        </w:rPr>
        <w:t>Hybrid Paid-Organic Ad Funnels: Leveraging top-performing organic carousels as creative assets within targeted Meta and LinkedIn paid conversion campaigns.</w:t>
      </w:r>
    </w:p>
    <w:p>
      <w:pPr>
        <w:keepNext/>
        <w:spacing w:before="320" w:after="160"/>
      </w:pPr>
      <w:r>
        <w:rPr>
          <w:rFonts w:ascii="Times New Roman" w:hAnsi="Times New Roman"/>
          <w:b/>
          <w:i w:val="0"/>
          <w:color w:val="182B49"/>
          <w:sz w:val="30"/>
        </w:rPr>
        <w:t>13. REFERENCES &amp; ACADEMIC BIBLIOGRAPHY</w:t>
      </w:r>
    </w:p>
    <w:p>
      <w:pPr>
        <w:pStyle w:val="ListBullet"/>
        <w:spacing w:after="80" w:line="276" w:lineRule="auto"/>
      </w:pPr>
      <w:r>
        <w:rPr>
          <w:rFonts w:ascii="Times New Roman" w:hAnsi="Times New Roman"/>
          <w:b w:val="0"/>
          <w:i w:val="0"/>
          <w:sz w:val="24"/>
        </w:rPr>
        <w:t>Chaffey, D., &amp; Ellis-Chadwick, F. (2019). Digital Marketing: Strategy, Implementation and Practice (7th ed.). Pearson Education.</w:t>
      </w:r>
    </w:p>
    <w:p>
      <w:pPr>
        <w:pStyle w:val="ListBullet"/>
        <w:spacing w:after="80" w:line="276" w:lineRule="auto"/>
      </w:pPr>
      <w:r>
        <w:rPr>
          <w:rFonts w:ascii="Times New Roman" w:hAnsi="Times New Roman"/>
          <w:b w:val="0"/>
          <w:i w:val="0"/>
          <w:sz w:val="24"/>
        </w:rPr>
        <w:t>Kotler, P., Kartajaya, H., &amp; Setiawan, I. (2021). Marketing 5.0: Technology for Humanity. John Wiley &amp; Sons.</w:t>
      </w:r>
    </w:p>
    <w:p>
      <w:pPr>
        <w:pStyle w:val="ListBullet"/>
        <w:spacing w:after="80" w:line="276" w:lineRule="auto"/>
      </w:pPr>
      <w:r>
        <w:rPr>
          <w:rFonts w:ascii="Times New Roman" w:hAnsi="Times New Roman"/>
          <w:b w:val="0"/>
          <w:i w:val="0"/>
          <w:sz w:val="24"/>
        </w:rPr>
        <w:t>Meta for Business. (2025). Best Practices for Content Distribution and Creative Optimization. Meta Business Help Centre.</w:t>
      </w:r>
    </w:p>
    <w:p>
      <w:pPr>
        <w:pStyle w:val="ListBullet"/>
        <w:spacing w:after="80" w:line="276" w:lineRule="auto"/>
      </w:pPr>
      <w:r>
        <w:rPr>
          <w:rFonts w:ascii="Times New Roman" w:hAnsi="Times New Roman"/>
          <w:b w:val="0"/>
          <w:i w:val="0"/>
          <w:sz w:val="24"/>
        </w:rPr>
        <w:t>Pulizzi, J. (2014). Epic Content Marketing: How to Tell a Different Story, Break Through the Clutter, and Win More Customers by Marketing Less. McGraw-Hill Education.</w:t>
      </w:r>
    </w:p>
    <w:p>
      <w:pPr>
        <w:pStyle w:val="ListBullet"/>
        <w:spacing w:after="80" w:line="276" w:lineRule="auto"/>
      </w:pPr>
      <w:r>
        <w:rPr>
          <w:rFonts w:ascii="Times New Roman" w:hAnsi="Times New Roman"/>
          <w:b w:val="0"/>
          <w:i w:val="0"/>
          <w:sz w:val="24"/>
        </w:rPr>
        <w:t>Statista Research Department. (2026). Social Media Advertising and Engagement Benchmarks across Emerging Markets.</w:t>
      </w:r>
    </w:p>
    <w:p>
      <w:r>
        <w:br w:type="page"/>
      </w:r>
    </w:p>
    <w:p>
      <w:pPr>
        <w:keepNext/>
        <w:spacing w:before="320" w:after="160"/>
      </w:pPr>
      <w:r>
        <w:rPr>
          <w:rFonts w:ascii="Times New Roman" w:hAnsi="Times New Roman"/>
          <w:b/>
          <w:i w:val="0"/>
          <w:color w:val="182B49"/>
          <w:sz w:val="30"/>
        </w:rPr>
        <w:t>14. APPENDIX: VERIFIED INTERNSHIP CREDENTIALS</w:t>
      </w:r>
    </w:p>
    <w:p>
      <w:pPr>
        <w:spacing w:after="120" w:line="276" w:lineRule="auto"/>
      </w:pPr>
      <w:r>
        <w:rPr>
          <w:rFonts w:ascii="Times New Roman" w:hAnsi="Times New Roman"/>
          <w:b w:val="0"/>
          <w:i w:val="0"/>
          <w:sz w:val="24"/>
        </w:rPr>
        <w:t>This appendix contains the formal record and verification of the internship completed at Fokuszy (Fokuszy.in). Below are the officially certified credential details:</w:t>
      </w:r>
    </w:p>
    <w:tbl>
      <w:tblPr>
        <w:tblW w:type="auto" w:w="0"/>
        <w:jc w:val="center"/>
        <w:tblLayout w:type="fixed"/>
        <w:tblLook w:firstColumn="1" w:firstRow="1" w:lastColumn="0" w:lastRow="0" w:noHBand="0" w:noVBand="1" w:val="04A0"/>
      </w:tblPr>
      <w:tblGrid>
        <w:gridCol w:w="4500"/>
        <w:gridCol w:w="4500"/>
      </w:tblGrid>
      <w:tr>
        <w:tc>
          <w:tcPr>
            <w:tcW w:type="dxa" w:w="3744"/>
            <w:shd w:fill="F4F6F9"/>
          </w:tcPr>
          <w:p>
            <w:pPr>
              <w:spacing w:after="40"/>
            </w:pPr>
            <w:r>
              <w:rPr>
                <w:rFonts w:ascii="Times New Roman" w:hAnsi="Times New Roman"/>
                <w:b/>
                <w:i w:val="0"/>
                <w:sz w:val="22"/>
              </w:rPr>
              <w:t>Candidate Name</w:t>
            </w:r>
          </w:p>
        </w:tc>
        <w:tc>
          <w:tcPr>
            <w:tcW w:type="dxa" w:w="5472"/>
            <w:shd w:fill="F4F6F9"/>
          </w:tcPr>
          <w:p>
            <w:pPr>
              <w:spacing w:after="40"/>
            </w:pPr>
            <w:r>
              <w:rPr>
                <w:rFonts w:ascii="Times New Roman" w:hAnsi="Times New Roman"/>
                <w:b w:val="0"/>
                <w:i w:val="0"/>
                <w:sz w:val="22"/>
              </w:rPr>
              <w:t>Akshit Bhatt</w:t>
            </w:r>
          </w:p>
        </w:tc>
      </w:tr>
      <w:tr>
        <w:tc>
          <w:tcPr>
            <w:tcW w:type="dxa" w:w="3744"/>
            <w:shd w:fill="FFFFFF"/>
          </w:tcPr>
          <w:p>
            <w:pPr>
              <w:spacing w:after="40"/>
            </w:pPr>
            <w:r>
              <w:rPr>
                <w:rFonts w:ascii="Times New Roman" w:hAnsi="Times New Roman"/>
                <w:b/>
                <w:i w:val="0"/>
                <w:sz w:val="22"/>
              </w:rPr>
              <w:t>Designation Awarded</w:t>
            </w:r>
          </w:p>
        </w:tc>
        <w:tc>
          <w:tcPr>
            <w:tcW w:type="dxa" w:w="5472"/>
            <w:shd w:fill="FFFFFF"/>
          </w:tcPr>
          <w:p>
            <w:pPr>
              <w:spacing w:after="40"/>
            </w:pPr>
            <w:r>
              <w:rPr>
                <w:rFonts w:ascii="Times New Roman" w:hAnsi="Times New Roman"/>
                <w:b w:val="0"/>
                <w:i w:val="0"/>
                <w:sz w:val="22"/>
              </w:rPr>
              <w:t>Social Media Intern / Social Media Manager</w:t>
            </w:r>
          </w:p>
        </w:tc>
      </w:tr>
      <w:tr>
        <w:tc>
          <w:tcPr>
            <w:tcW w:type="dxa" w:w="3744"/>
            <w:shd w:fill="F4F6F9"/>
          </w:tcPr>
          <w:p>
            <w:pPr>
              <w:spacing w:after="40"/>
            </w:pPr>
            <w:r>
              <w:rPr>
                <w:rFonts w:ascii="Times New Roman" w:hAnsi="Times New Roman"/>
                <w:b/>
                <w:i w:val="0"/>
                <w:sz w:val="22"/>
              </w:rPr>
              <w:t>Host Organisation</w:t>
            </w:r>
          </w:p>
        </w:tc>
        <w:tc>
          <w:tcPr>
            <w:tcW w:type="dxa" w:w="5472"/>
            <w:shd w:fill="F4F6F9"/>
          </w:tcPr>
          <w:p>
            <w:pPr>
              <w:spacing w:after="40"/>
            </w:pPr>
            <w:r>
              <w:rPr>
                <w:rFonts w:ascii="Times New Roman" w:hAnsi="Times New Roman"/>
                <w:b w:val="0"/>
                <w:i w:val="0"/>
                <w:sz w:val="22"/>
              </w:rPr>
              <w:t>Fokuszy (Fokuszy.in)</w:t>
            </w:r>
          </w:p>
        </w:tc>
      </w:tr>
      <w:tr>
        <w:tc>
          <w:tcPr>
            <w:tcW w:type="dxa" w:w="3744"/>
            <w:shd w:fill="FFFFFF"/>
          </w:tcPr>
          <w:p>
            <w:pPr>
              <w:spacing w:after="40"/>
            </w:pPr>
            <w:r>
              <w:rPr>
                <w:rFonts w:ascii="Times New Roman" w:hAnsi="Times New Roman"/>
                <w:b/>
                <w:i w:val="0"/>
                <w:sz w:val="22"/>
              </w:rPr>
              <w:t>Internship Duration</w:t>
            </w:r>
          </w:p>
        </w:tc>
        <w:tc>
          <w:tcPr>
            <w:tcW w:type="dxa" w:w="5472"/>
            <w:shd w:fill="FFFFFF"/>
          </w:tcPr>
          <w:p>
            <w:pPr>
              <w:spacing w:after="40"/>
            </w:pPr>
            <w:r>
              <w:rPr>
                <w:rFonts w:ascii="Times New Roman" w:hAnsi="Times New Roman"/>
                <w:b w:val="0"/>
                <w:i w:val="0"/>
                <w:sz w:val="22"/>
              </w:rPr>
              <w:t>15 June 2026 – 15 July 2026</w:t>
            </w:r>
          </w:p>
        </w:tc>
      </w:tr>
      <w:tr>
        <w:tc>
          <w:tcPr>
            <w:tcW w:type="dxa" w:w="3744"/>
            <w:shd w:fill="F4F6F9"/>
          </w:tcPr>
          <w:p>
            <w:pPr>
              <w:spacing w:after="40"/>
            </w:pPr>
            <w:r>
              <w:rPr>
                <w:rFonts w:ascii="Times New Roman" w:hAnsi="Times New Roman"/>
                <w:b/>
                <w:i w:val="0"/>
                <w:sz w:val="22"/>
              </w:rPr>
              <w:t>Issuing Authority 1</w:t>
            </w:r>
          </w:p>
        </w:tc>
        <w:tc>
          <w:tcPr>
            <w:tcW w:type="dxa" w:w="5472"/>
            <w:shd w:fill="F4F6F9"/>
          </w:tcPr>
          <w:p>
            <w:pPr>
              <w:spacing w:after="40"/>
            </w:pPr>
            <w:r>
              <w:rPr>
                <w:rFonts w:ascii="Times New Roman" w:hAnsi="Times New Roman"/>
                <w:b w:val="0"/>
                <w:i w:val="0"/>
                <w:sz w:val="22"/>
              </w:rPr>
              <w:t>Kashish Panday (HR, Fokuszy)</w:t>
            </w:r>
          </w:p>
        </w:tc>
      </w:tr>
      <w:tr>
        <w:tc>
          <w:tcPr>
            <w:tcW w:type="dxa" w:w="3744"/>
            <w:shd w:fill="FFFFFF"/>
          </w:tcPr>
          <w:p>
            <w:pPr>
              <w:spacing w:after="40"/>
            </w:pPr>
            <w:r>
              <w:rPr>
                <w:rFonts w:ascii="Times New Roman" w:hAnsi="Times New Roman"/>
                <w:b/>
                <w:i w:val="0"/>
                <w:sz w:val="22"/>
              </w:rPr>
              <w:t>Issuing Authority 2</w:t>
            </w:r>
          </w:p>
        </w:tc>
        <w:tc>
          <w:tcPr>
            <w:tcW w:type="dxa" w:w="5472"/>
            <w:shd w:fill="FFFFFF"/>
          </w:tcPr>
          <w:p>
            <w:pPr>
              <w:spacing w:after="40"/>
            </w:pPr>
            <w:r>
              <w:rPr>
                <w:rFonts w:ascii="Times New Roman" w:hAnsi="Times New Roman"/>
                <w:b w:val="0"/>
                <w:i w:val="0"/>
                <w:sz w:val="22"/>
              </w:rPr>
              <w:t>Manish Bhatt (General Manager, Fokuszy)</w:t>
            </w:r>
          </w:p>
        </w:tc>
      </w:tr>
    </w:tbl>
    <w:p>
      <w:pPr>
        <w:spacing w:after="120" w:line="276" w:lineRule="auto"/>
      </w:pPr>
      <w:r>
        <w:rPr>
          <w:rFonts w:ascii="Times New Roman" w:hAnsi="Times New Roman"/>
          <w:b/>
          <w:i w:val="0"/>
          <w:sz w:val="24"/>
        </w:rPr>
        <w:br/>
        <w:t xml:space="preserve">[INSTRUCTION]: </w:t>
      </w:r>
      <w:r>
        <w:rPr>
          <w:rFonts w:ascii="Times New Roman" w:hAnsi="Times New Roman"/>
          <w:b w:val="0"/>
          <w:i w:val="0"/>
          <w:sz w:val="24"/>
        </w:rPr>
        <w:t>Note for Final Binding: Attach a high-resolution printed copy of the original Certificate of Internship issued by Fokuszy immediately following this page in the final hard-bound submission.</w:t>
      </w:r>
    </w:p>
    <w:p>
      <w:r>
        <w:br w:type="page"/>
      </w:r>
    </w:p>
    <w:p>
      <w:pPr>
        <w:spacing w:before="240" w:after="320"/>
        <w:jc w:val="center"/>
      </w:pPr>
      <w:r>
        <w:rPr>
          <w:rFonts w:ascii="Times New Roman" w:hAnsi="Times New Roman"/>
          <w:b/>
          <w:color w:val="182B49"/>
          <w:sz w:val="28"/>
        </w:rPr>
        <w:t>ORIGINAL CERTIFICATE OF INTERNSHIP</w:t>
      </w:r>
    </w:p>
    <w:p>
      <w:pPr>
        <w:spacing w:after="240"/>
        <w:jc w:val="center"/>
      </w:pPr>
      <w:r>
        <w:drawing>
          <wp:inline xmlns:a="http://schemas.openxmlformats.org/drawingml/2006/main" xmlns:pic="http://schemas.openxmlformats.org/drawingml/2006/picture">
            <wp:extent cx="5669280" cy="4008181"/>
            <wp:docPr id="1" name="Picture 1"/>
            <wp:cNvGraphicFramePr>
              <a:graphicFrameLocks noChangeAspect="1"/>
            </wp:cNvGraphicFramePr>
            <a:graphic>
              <a:graphicData uri="http://schemas.openxmlformats.org/drawingml/2006/picture">
                <pic:pic>
                  <pic:nvPicPr>
                    <pic:cNvPr id="0" name="input_file_1.png"/>
                    <pic:cNvPicPr/>
                  </pic:nvPicPr>
                  <pic:blipFill>
                    <a:blip r:embed="rId10"/>
                    <a:stretch>
                      <a:fillRect/>
                    </a:stretch>
                  </pic:blipFill>
                  <pic:spPr>
                    <a:xfrm>
                      <a:off x="0" y="0"/>
                      <a:ext cx="5669280" cy="4008181"/>
                    </a:xfrm>
                    <a:prstGeom prst="rect"/>
                  </pic:spPr>
                </pic:pic>
              </a:graphicData>
            </a:graphic>
          </wp:inline>
        </w:drawing>
      </w:r>
    </w:p>
    <w:p>
      <w:pPr>
        <w:spacing w:after="120"/>
        <w:jc w:val="center"/>
      </w:pPr>
      <w:r>
        <w:rPr>
          <w:rFonts w:ascii="Times New Roman" w:hAnsi="Times New Roman"/>
          <w:i/>
          <w:color w:val="5A5A5A"/>
          <w:sz w:val="20"/>
        </w:rPr>
        <w:t>Figure 14.1: Verified Internship Certificate Issued by Fokuszy (Fokuszy.in)</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87878"/>
        <w:sz w:val="18"/>
      </w:rPr>
      <w:t>IILM University, Greater Noida | Internship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