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2B6B64" w14:textId="77777777" w:rsidR="00455B8F" w:rsidRPr="00C903EF" w:rsidRDefault="00000000">
      <w:pPr>
        <w:pStyle w:val="Heading1"/>
        <w:jc w:val="center"/>
        <w:rPr>
          <w:rFonts w:ascii="Arial" w:hAnsi="Arial" w:cs="Arial"/>
          <w:color w:val="0D0D0D" w:themeColor="text1" w:themeTint="F2"/>
        </w:rPr>
      </w:pPr>
      <w:proofErr w:type="spellStart"/>
      <w:r w:rsidRPr="00C903EF">
        <w:rPr>
          <w:rFonts w:ascii="Arial" w:hAnsi="Arial" w:cs="Arial"/>
          <w:color w:val="0D0D0D" w:themeColor="text1" w:themeTint="F2"/>
        </w:rPr>
        <w:t>MarketScope</w:t>
      </w:r>
      <w:proofErr w:type="spellEnd"/>
      <w:r w:rsidRPr="00C903EF">
        <w:rPr>
          <w:rFonts w:ascii="Arial" w:hAnsi="Arial" w:cs="Arial"/>
          <w:color w:val="0D0D0D" w:themeColor="text1" w:themeTint="F2"/>
        </w:rPr>
        <w:t xml:space="preserve"> AI</w:t>
      </w:r>
    </w:p>
    <w:p w14:paraId="39C3AD01" w14:textId="77777777" w:rsidR="00455B8F" w:rsidRPr="00C903EF" w:rsidRDefault="00000000">
      <w:pPr>
        <w:jc w:val="center"/>
        <w:rPr>
          <w:rFonts w:ascii="Arial" w:hAnsi="Arial" w:cs="Arial"/>
          <w:color w:val="0D0D0D" w:themeColor="text1" w:themeTint="F2"/>
        </w:rPr>
      </w:pPr>
      <w:r w:rsidRPr="00C903EF">
        <w:rPr>
          <w:rFonts w:ascii="Arial" w:hAnsi="Arial" w:cs="Arial"/>
          <w:color w:val="0D0D0D" w:themeColor="text1" w:themeTint="F2"/>
        </w:rPr>
        <w:t>Australian Suburb Intelligence Platform</w:t>
      </w:r>
      <w:r w:rsidRPr="00C903EF">
        <w:rPr>
          <w:rFonts w:ascii="Arial" w:hAnsi="Arial" w:cs="Arial"/>
          <w:color w:val="0D0D0D" w:themeColor="text1" w:themeTint="F2"/>
        </w:rPr>
        <w:br/>
        <w:t>Professional Project Report</w:t>
      </w:r>
    </w:p>
    <w:p w14:paraId="22D0C965"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Executive Summary</w:t>
      </w:r>
    </w:p>
    <w:p w14:paraId="3ECAECD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MarketScope AI is an end-to-end business analytics proof of concept that helps organisations identify suitable Australian suburbs for business expansion. The platform combines demographic, economic, accessibility and competition indicators to generate Opportunity Scores, Risk Scores and industry-specific suitability scores for Retail, Health Insurance and Telecommunications. The final solution was implemented as an interactive Streamlit dashboard.</w:t>
      </w:r>
    </w:p>
    <w:p w14:paraId="09ED33C7"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Business Problem</w:t>
      </w:r>
    </w:p>
    <w:p w14:paraId="6BE7FED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Businesses expanding into new locations often rely on fragmented information from different sources. Population alone cannot determine whether a suburb is attractive, while high income may be offset by intense competition. MarketScope AI addresses this challenge by combining multiple indicators into a structured decision-support model.</w:t>
      </w:r>
    </w:p>
    <w:p w14:paraId="3E280B4B"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Project Objectives</w:t>
      </w:r>
    </w:p>
    <w:p w14:paraId="214614E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 Build an Australian location intelligence platform.</w:t>
      </w:r>
      <w:r w:rsidRPr="00C903EF">
        <w:rPr>
          <w:rFonts w:ascii="Arial" w:hAnsi="Arial" w:cs="Arial"/>
          <w:color w:val="0D0D0D" w:themeColor="text1" w:themeTint="F2"/>
        </w:rPr>
        <w:br/>
        <w:t>• Prepare and analyse suburb-level data.</w:t>
      </w:r>
      <w:r w:rsidRPr="00C903EF">
        <w:rPr>
          <w:rFonts w:ascii="Arial" w:hAnsi="Arial" w:cs="Arial"/>
          <w:color w:val="0D0D0D" w:themeColor="text1" w:themeTint="F2"/>
        </w:rPr>
        <w:br/>
        <w:t>• Design Opportunity and Risk scoring models.</w:t>
      </w:r>
      <w:r w:rsidRPr="00C903EF">
        <w:rPr>
          <w:rFonts w:ascii="Arial" w:hAnsi="Arial" w:cs="Arial"/>
          <w:color w:val="0D0D0D" w:themeColor="text1" w:themeTint="F2"/>
        </w:rPr>
        <w:br/>
        <w:t>• Develop industry-specific recommendation engines.</w:t>
      </w:r>
      <w:r w:rsidRPr="00C903EF">
        <w:rPr>
          <w:rFonts w:ascii="Arial" w:hAnsi="Arial" w:cs="Arial"/>
          <w:color w:val="0D0D0D" w:themeColor="text1" w:themeTint="F2"/>
        </w:rPr>
        <w:br/>
        <w:t>• Deliver recommendations through an interactive dashboard.</w:t>
      </w:r>
      <w:r w:rsidRPr="00C903EF">
        <w:rPr>
          <w:rFonts w:ascii="Arial" w:hAnsi="Arial" w:cs="Arial"/>
          <w:color w:val="0D0D0D" w:themeColor="text1" w:themeTint="F2"/>
        </w:rPr>
        <w:br/>
        <w:t>• Demonstrate practical Business Analyst and Data Analyst skills.</w:t>
      </w:r>
    </w:p>
    <w:p w14:paraId="189C1DBC"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Dataset Overview</w:t>
      </w:r>
    </w:p>
    <w:p w14:paraId="382D83E6"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The analytical dataset contains one record per suburb. Original business values are retained for presentation, while scaled variables are used internally for scoring.</w:t>
      </w:r>
    </w:p>
    <w:p w14:paraId="4529D6C9"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Dataset Dictionary</w:t>
      </w:r>
    </w:p>
    <w:tbl>
      <w:tblPr>
        <w:tblStyle w:val="TableGrid"/>
        <w:tblW w:w="0" w:type="auto"/>
        <w:tblLook w:val="04A0" w:firstRow="1" w:lastRow="0" w:firstColumn="1" w:lastColumn="0" w:noHBand="0" w:noVBand="1"/>
      </w:tblPr>
      <w:tblGrid>
        <w:gridCol w:w="2880"/>
        <w:gridCol w:w="2880"/>
        <w:gridCol w:w="2880"/>
      </w:tblGrid>
      <w:tr w:rsidR="00455B8F" w:rsidRPr="00C903EF" w14:paraId="1585F872" w14:textId="77777777">
        <w:tc>
          <w:tcPr>
            <w:tcW w:w="2880" w:type="dxa"/>
          </w:tcPr>
          <w:p w14:paraId="7121BAC1"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Column</w:t>
            </w:r>
          </w:p>
        </w:tc>
        <w:tc>
          <w:tcPr>
            <w:tcW w:w="2880" w:type="dxa"/>
          </w:tcPr>
          <w:p w14:paraId="360660D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Description</w:t>
            </w:r>
          </w:p>
        </w:tc>
        <w:tc>
          <w:tcPr>
            <w:tcW w:w="2880" w:type="dxa"/>
          </w:tcPr>
          <w:p w14:paraId="2DBF0DE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Purpose</w:t>
            </w:r>
          </w:p>
        </w:tc>
      </w:tr>
      <w:tr w:rsidR="00455B8F" w:rsidRPr="00C903EF" w14:paraId="72513174" w14:textId="77777777">
        <w:tc>
          <w:tcPr>
            <w:tcW w:w="2880" w:type="dxa"/>
          </w:tcPr>
          <w:p w14:paraId="4F98DB7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suburb</w:t>
            </w:r>
          </w:p>
        </w:tc>
        <w:tc>
          <w:tcPr>
            <w:tcW w:w="2880" w:type="dxa"/>
          </w:tcPr>
          <w:p w14:paraId="362965D0"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Australian suburb analysed</w:t>
            </w:r>
          </w:p>
        </w:tc>
        <w:tc>
          <w:tcPr>
            <w:tcW w:w="2880" w:type="dxa"/>
          </w:tcPr>
          <w:p w14:paraId="6D33ABC2"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Unique business location</w:t>
            </w:r>
          </w:p>
        </w:tc>
      </w:tr>
      <w:tr w:rsidR="00455B8F" w:rsidRPr="00C903EF" w14:paraId="56BEC389" w14:textId="77777777">
        <w:tc>
          <w:tcPr>
            <w:tcW w:w="2880" w:type="dxa"/>
          </w:tcPr>
          <w:p w14:paraId="2FE31246"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population</w:t>
            </w:r>
          </w:p>
        </w:tc>
        <w:tc>
          <w:tcPr>
            <w:tcW w:w="2880" w:type="dxa"/>
          </w:tcPr>
          <w:p w14:paraId="3540C6E5"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Estimated suburb population</w:t>
            </w:r>
          </w:p>
        </w:tc>
        <w:tc>
          <w:tcPr>
            <w:tcW w:w="2880" w:type="dxa"/>
          </w:tcPr>
          <w:p w14:paraId="111B134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Market size</w:t>
            </w:r>
          </w:p>
        </w:tc>
      </w:tr>
      <w:tr w:rsidR="00455B8F" w:rsidRPr="00C903EF" w14:paraId="5E84C17C" w14:textId="77777777">
        <w:tc>
          <w:tcPr>
            <w:tcW w:w="2880" w:type="dxa"/>
          </w:tcPr>
          <w:p w14:paraId="6F604292"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median_income</w:t>
            </w:r>
          </w:p>
        </w:tc>
        <w:tc>
          <w:tcPr>
            <w:tcW w:w="2880" w:type="dxa"/>
          </w:tcPr>
          <w:p w14:paraId="5AE6D92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Median household/personal income</w:t>
            </w:r>
          </w:p>
        </w:tc>
        <w:tc>
          <w:tcPr>
            <w:tcW w:w="2880" w:type="dxa"/>
          </w:tcPr>
          <w:p w14:paraId="65252EE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Spending capacity</w:t>
            </w:r>
          </w:p>
        </w:tc>
      </w:tr>
      <w:tr w:rsidR="00455B8F" w:rsidRPr="00C903EF" w14:paraId="3FD80FE2" w14:textId="77777777">
        <w:tc>
          <w:tcPr>
            <w:tcW w:w="2880" w:type="dxa"/>
          </w:tcPr>
          <w:p w14:paraId="25FF9807"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age_20_39_percentage</w:t>
            </w:r>
          </w:p>
        </w:tc>
        <w:tc>
          <w:tcPr>
            <w:tcW w:w="2880" w:type="dxa"/>
          </w:tcPr>
          <w:p w14:paraId="5978002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Residents aged 20–39</w:t>
            </w:r>
          </w:p>
        </w:tc>
        <w:tc>
          <w:tcPr>
            <w:tcW w:w="2880" w:type="dxa"/>
          </w:tcPr>
          <w:p w14:paraId="6BABFB6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Young working-age demographic</w:t>
            </w:r>
          </w:p>
        </w:tc>
      </w:tr>
      <w:tr w:rsidR="00455B8F" w:rsidRPr="00C903EF" w14:paraId="207D2192" w14:textId="77777777">
        <w:tc>
          <w:tcPr>
            <w:tcW w:w="2880" w:type="dxa"/>
          </w:tcPr>
          <w:p w14:paraId="5EE621CC"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train_station_score</w:t>
            </w:r>
          </w:p>
        </w:tc>
        <w:tc>
          <w:tcPr>
            <w:tcW w:w="2880" w:type="dxa"/>
          </w:tcPr>
          <w:p w14:paraId="3DAB8100"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Accessibility score based on transport</w:t>
            </w:r>
          </w:p>
        </w:tc>
        <w:tc>
          <w:tcPr>
            <w:tcW w:w="2880" w:type="dxa"/>
          </w:tcPr>
          <w:p w14:paraId="7780BA6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Ease of customer/staff access</w:t>
            </w:r>
          </w:p>
        </w:tc>
      </w:tr>
      <w:tr w:rsidR="00455B8F" w:rsidRPr="00C903EF" w14:paraId="7619A98E" w14:textId="77777777">
        <w:tc>
          <w:tcPr>
            <w:tcW w:w="2880" w:type="dxa"/>
          </w:tcPr>
          <w:p w14:paraId="7B7DB16E"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competitor_count</w:t>
            </w:r>
          </w:p>
        </w:tc>
        <w:tc>
          <w:tcPr>
            <w:tcW w:w="2880" w:type="dxa"/>
          </w:tcPr>
          <w:p w14:paraId="200CCF89"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Number of competing businesses</w:t>
            </w:r>
          </w:p>
        </w:tc>
        <w:tc>
          <w:tcPr>
            <w:tcW w:w="2880" w:type="dxa"/>
          </w:tcPr>
          <w:p w14:paraId="268276F0"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Market competition</w:t>
            </w:r>
          </w:p>
        </w:tc>
      </w:tr>
      <w:tr w:rsidR="00455B8F" w:rsidRPr="00C903EF" w14:paraId="7781045D" w14:textId="77777777">
        <w:tc>
          <w:tcPr>
            <w:tcW w:w="2880" w:type="dxa"/>
          </w:tcPr>
          <w:p w14:paraId="518A9AA8"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lastRenderedPageBreak/>
              <w:t>population_growth</w:t>
            </w:r>
          </w:p>
        </w:tc>
        <w:tc>
          <w:tcPr>
            <w:tcW w:w="2880" w:type="dxa"/>
          </w:tcPr>
          <w:p w14:paraId="4D5BF26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Population growth (%)</w:t>
            </w:r>
          </w:p>
        </w:tc>
        <w:tc>
          <w:tcPr>
            <w:tcW w:w="2880" w:type="dxa"/>
          </w:tcPr>
          <w:p w14:paraId="5B701FCE"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Future market potential</w:t>
            </w:r>
          </w:p>
        </w:tc>
      </w:tr>
      <w:tr w:rsidR="00455B8F" w:rsidRPr="00C903EF" w14:paraId="1AE5F8BF" w14:textId="77777777">
        <w:tc>
          <w:tcPr>
            <w:tcW w:w="2880" w:type="dxa"/>
          </w:tcPr>
          <w:p w14:paraId="2B915E85"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competitor_score</w:t>
            </w:r>
          </w:p>
        </w:tc>
        <w:tc>
          <w:tcPr>
            <w:tcW w:w="2880" w:type="dxa"/>
          </w:tcPr>
          <w:p w14:paraId="02E3DC07"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Competition converted to a comparable score</w:t>
            </w:r>
          </w:p>
        </w:tc>
        <w:tc>
          <w:tcPr>
            <w:tcW w:w="2880" w:type="dxa"/>
          </w:tcPr>
          <w:p w14:paraId="7A7CA57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Used in scoring</w:t>
            </w:r>
          </w:p>
        </w:tc>
      </w:tr>
      <w:tr w:rsidR="00455B8F" w:rsidRPr="00C903EF" w14:paraId="5B445305" w14:textId="77777777">
        <w:tc>
          <w:tcPr>
            <w:tcW w:w="2880" w:type="dxa"/>
          </w:tcPr>
          <w:p w14:paraId="03846852"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opportunity_score</w:t>
            </w:r>
          </w:p>
        </w:tc>
        <w:tc>
          <w:tcPr>
            <w:tcW w:w="2880" w:type="dxa"/>
          </w:tcPr>
          <w:p w14:paraId="09A2B65C"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Composite attractiveness score</w:t>
            </w:r>
          </w:p>
        </w:tc>
        <w:tc>
          <w:tcPr>
            <w:tcW w:w="2880" w:type="dxa"/>
          </w:tcPr>
          <w:p w14:paraId="423A8D1C"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Ranks business opportunity</w:t>
            </w:r>
          </w:p>
        </w:tc>
      </w:tr>
      <w:tr w:rsidR="00455B8F" w:rsidRPr="00C903EF" w14:paraId="5C322D39" w14:textId="77777777">
        <w:tc>
          <w:tcPr>
            <w:tcW w:w="2880" w:type="dxa"/>
          </w:tcPr>
          <w:p w14:paraId="6731DD9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risk_score</w:t>
            </w:r>
          </w:p>
        </w:tc>
        <w:tc>
          <w:tcPr>
            <w:tcW w:w="2880" w:type="dxa"/>
          </w:tcPr>
          <w:p w14:paraId="7F0E4CC8"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Composite risk indicator</w:t>
            </w:r>
          </w:p>
        </w:tc>
        <w:tc>
          <w:tcPr>
            <w:tcW w:w="2880" w:type="dxa"/>
          </w:tcPr>
          <w:p w14:paraId="62A4829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Assesses expansion risk</w:t>
            </w:r>
          </w:p>
        </w:tc>
      </w:tr>
      <w:tr w:rsidR="00455B8F" w:rsidRPr="00C903EF" w14:paraId="1BBC66E0" w14:textId="77777777">
        <w:tc>
          <w:tcPr>
            <w:tcW w:w="2880" w:type="dxa"/>
          </w:tcPr>
          <w:p w14:paraId="0BFDCC29"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recommendation</w:t>
            </w:r>
          </w:p>
        </w:tc>
        <w:tc>
          <w:tcPr>
            <w:tcW w:w="2880" w:type="dxa"/>
          </w:tcPr>
          <w:p w14:paraId="228DFC51"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High/Medium/Low Priority</w:t>
            </w:r>
          </w:p>
        </w:tc>
        <w:tc>
          <w:tcPr>
            <w:tcW w:w="2880" w:type="dxa"/>
          </w:tcPr>
          <w:p w14:paraId="3C15647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Business recommendation</w:t>
            </w:r>
          </w:p>
        </w:tc>
      </w:tr>
      <w:tr w:rsidR="00455B8F" w:rsidRPr="00C903EF" w14:paraId="022FA5E6" w14:textId="77777777">
        <w:tc>
          <w:tcPr>
            <w:tcW w:w="2880" w:type="dxa"/>
          </w:tcPr>
          <w:p w14:paraId="25C36EF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key_strengths</w:t>
            </w:r>
          </w:p>
        </w:tc>
        <w:tc>
          <w:tcPr>
            <w:tcW w:w="2880" w:type="dxa"/>
          </w:tcPr>
          <w:p w14:paraId="5584365E"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Automatically generated explanation</w:t>
            </w:r>
          </w:p>
        </w:tc>
        <w:tc>
          <w:tcPr>
            <w:tcW w:w="2880" w:type="dxa"/>
          </w:tcPr>
          <w:p w14:paraId="4C26A909"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Executive insight</w:t>
            </w:r>
          </w:p>
        </w:tc>
      </w:tr>
      <w:tr w:rsidR="00455B8F" w:rsidRPr="00C903EF" w14:paraId="07F005D4" w14:textId="77777777">
        <w:tc>
          <w:tcPr>
            <w:tcW w:w="2880" w:type="dxa"/>
          </w:tcPr>
          <w:p w14:paraId="78FC240B"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population_scaled</w:t>
            </w:r>
          </w:p>
        </w:tc>
        <w:tc>
          <w:tcPr>
            <w:tcW w:w="2880" w:type="dxa"/>
          </w:tcPr>
          <w:p w14:paraId="7BFFC2B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Normalised population</w:t>
            </w:r>
          </w:p>
        </w:tc>
        <w:tc>
          <w:tcPr>
            <w:tcW w:w="2880" w:type="dxa"/>
          </w:tcPr>
          <w:p w14:paraId="1DDED076"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Model input</w:t>
            </w:r>
          </w:p>
        </w:tc>
      </w:tr>
      <w:tr w:rsidR="00455B8F" w:rsidRPr="00C903EF" w14:paraId="18154C7C" w14:textId="77777777">
        <w:tc>
          <w:tcPr>
            <w:tcW w:w="2880" w:type="dxa"/>
          </w:tcPr>
          <w:p w14:paraId="1E1C4A05"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income_scaled</w:t>
            </w:r>
          </w:p>
        </w:tc>
        <w:tc>
          <w:tcPr>
            <w:tcW w:w="2880" w:type="dxa"/>
          </w:tcPr>
          <w:p w14:paraId="3E50578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Normalised income</w:t>
            </w:r>
          </w:p>
        </w:tc>
        <w:tc>
          <w:tcPr>
            <w:tcW w:w="2880" w:type="dxa"/>
          </w:tcPr>
          <w:p w14:paraId="2B3B2C0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Model input</w:t>
            </w:r>
          </w:p>
        </w:tc>
      </w:tr>
      <w:tr w:rsidR="00455B8F" w:rsidRPr="00C903EF" w14:paraId="075DD135" w14:textId="77777777">
        <w:tc>
          <w:tcPr>
            <w:tcW w:w="2880" w:type="dxa"/>
          </w:tcPr>
          <w:p w14:paraId="0423E427"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growth_scaled</w:t>
            </w:r>
          </w:p>
        </w:tc>
        <w:tc>
          <w:tcPr>
            <w:tcW w:w="2880" w:type="dxa"/>
          </w:tcPr>
          <w:p w14:paraId="6FF45AF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Normalised growth</w:t>
            </w:r>
          </w:p>
        </w:tc>
        <w:tc>
          <w:tcPr>
            <w:tcW w:w="2880" w:type="dxa"/>
          </w:tcPr>
          <w:p w14:paraId="0C53D6A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Model input</w:t>
            </w:r>
          </w:p>
        </w:tc>
      </w:tr>
      <w:tr w:rsidR="00455B8F" w:rsidRPr="00C903EF" w14:paraId="0618E5C9" w14:textId="77777777">
        <w:tc>
          <w:tcPr>
            <w:tcW w:w="2880" w:type="dxa"/>
          </w:tcPr>
          <w:p w14:paraId="352F9541"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access_scaled</w:t>
            </w:r>
          </w:p>
        </w:tc>
        <w:tc>
          <w:tcPr>
            <w:tcW w:w="2880" w:type="dxa"/>
          </w:tcPr>
          <w:p w14:paraId="7D7D9E86"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Normalised accessibility</w:t>
            </w:r>
          </w:p>
        </w:tc>
        <w:tc>
          <w:tcPr>
            <w:tcW w:w="2880" w:type="dxa"/>
          </w:tcPr>
          <w:p w14:paraId="5737788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Model input</w:t>
            </w:r>
          </w:p>
        </w:tc>
      </w:tr>
      <w:tr w:rsidR="00455B8F" w:rsidRPr="00C903EF" w14:paraId="7D309621" w14:textId="77777777">
        <w:tc>
          <w:tcPr>
            <w:tcW w:w="2880" w:type="dxa"/>
          </w:tcPr>
          <w:p w14:paraId="04340FB6"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young_scaled</w:t>
            </w:r>
          </w:p>
        </w:tc>
        <w:tc>
          <w:tcPr>
            <w:tcW w:w="2880" w:type="dxa"/>
          </w:tcPr>
          <w:p w14:paraId="5C4B7BB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Normalised young population</w:t>
            </w:r>
          </w:p>
        </w:tc>
        <w:tc>
          <w:tcPr>
            <w:tcW w:w="2880" w:type="dxa"/>
          </w:tcPr>
          <w:p w14:paraId="56D67AC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Model input</w:t>
            </w:r>
          </w:p>
        </w:tc>
      </w:tr>
      <w:tr w:rsidR="00455B8F" w:rsidRPr="00C903EF" w14:paraId="20C3C24B" w14:textId="77777777">
        <w:tc>
          <w:tcPr>
            <w:tcW w:w="2880" w:type="dxa"/>
          </w:tcPr>
          <w:p w14:paraId="4BFC6387"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retail_score</w:t>
            </w:r>
          </w:p>
        </w:tc>
        <w:tc>
          <w:tcPr>
            <w:tcW w:w="2880" w:type="dxa"/>
          </w:tcPr>
          <w:p w14:paraId="2C830F55"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Retail suitability score</w:t>
            </w:r>
          </w:p>
        </w:tc>
        <w:tc>
          <w:tcPr>
            <w:tcW w:w="2880" w:type="dxa"/>
          </w:tcPr>
          <w:p w14:paraId="3AEFE8D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Retail recommendations</w:t>
            </w:r>
          </w:p>
        </w:tc>
      </w:tr>
      <w:tr w:rsidR="00455B8F" w:rsidRPr="00C903EF" w14:paraId="606B586B" w14:textId="77777777">
        <w:tc>
          <w:tcPr>
            <w:tcW w:w="2880" w:type="dxa"/>
          </w:tcPr>
          <w:p w14:paraId="11017058"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health_score</w:t>
            </w:r>
          </w:p>
        </w:tc>
        <w:tc>
          <w:tcPr>
            <w:tcW w:w="2880" w:type="dxa"/>
          </w:tcPr>
          <w:p w14:paraId="7F3FA32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Health Insurance suitability score</w:t>
            </w:r>
          </w:p>
        </w:tc>
        <w:tc>
          <w:tcPr>
            <w:tcW w:w="2880" w:type="dxa"/>
          </w:tcPr>
          <w:p w14:paraId="4763F2E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Health recommendations</w:t>
            </w:r>
          </w:p>
        </w:tc>
      </w:tr>
      <w:tr w:rsidR="00455B8F" w:rsidRPr="00C903EF" w14:paraId="2A14AED1" w14:textId="77777777">
        <w:tc>
          <w:tcPr>
            <w:tcW w:w="2880" w:type="dxa"/>
          </w:tcPr>
          <w:p w14:paraId="112BF769"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telecom_score</w:t>
            </w:r>
          </w:p>
        </w:tc>
        <w:tc>
          <w:tcPr>
            <w:tcW w:w="2880" w:type="dxa"/>
          </w:tcPr>
          <w:p w14:paraId="5EBF3841"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Telecommunications suitability score</w:t>
            </w:r>
          </w:p>
        </w:tc>
        <w:tc>
          <w:tcPr>
            <w:tcW w:w="2880" w:type="dxa"/>
          </w:tcPr>
          <w:p w14:paraId="68DE0FE5"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Telecommunications recommendations</w:t>
            </w:r>
          </w:p>
        </w:tc>
      </w:tr>
    </w:tbl>
    <w:p w14:paraId="76834D9B"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Methodology</w:t>
      </w:r>
    </w:p>
    <w:p w14:paraId="264530A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1. Data Collection</w:t>
      </w:r>
      <w:r w:rsidRPr="00C903EF">
        <w:rPr>
          <w:rFonts w:ascii="Arial" w:hAnsi="Arial" w:cs="Arial"/>
          <w:color w:val="0D0D0D" w:themeColor="text1" w:themeTint="F2"/>
        </w:rPr>
        <w:br/>
        <w:t>2. Data Cleaning</w:t>
      </w:r>
      <w:r w:rsidRPr="00C903EF">
        <w:rPr>
          <w:rFonts w:ascii="Arial" w:hAnsi="Arial" w:cs="Arial"/>
          <w:color w:val="0D0D0D" w:themeColor="text1" w:themeTint="F2"/>
        </w:rPr>
        <w:br/>
        <w:t>3. Exploratory Data Analysis</w:t>
      </w:r>
      <w:r w:rsidRPr="00C903EF">
        <w:rPr>
          <w:rFonts w:ascii="Arial" w:hAnsi="Arial" w:cs="Arial"/>
          <w:color w:val="0D0D0D" w:themeColor="text1" w:themeTint="F2"/>
        </w:rPr>
        <w:br/>
        <w:t>4. Feature Engineering</w:t>
      </w:r>
      <w:r w:rsidRPr="00C903EF">
        <w:rPr>
          <w:rFonts w:ascii="Arial" w:hAnsi="Arial" w:cs="Arial"/>
          <w:color w:val="0D0D0D" w:themeColor="text1" w:themeTint="F2"/>
        </w:rPr>
        <w:br/>
        <w:t>5. Feature Scaling</w:t>
      </w:r>
      <w:r w:rsidRPr="00C903EF">
        <w:rPr>
          <w:rFonts w:ascii="Arial" w:hAnsi="Arial" w:cs="Arial"/>
          <w:color w:val="0D0D0D" w:themeColor="text1" w:themeTint="F2"/>
        </w:rPr>
        <w:br/>
        <w:t>6. Opportunity Score Calculation</w:t>
      </w:r>
      <w:r w:rsidRPr="00C903EF">
        <w:rPr>
          <w:rFonts w:ascii="Arial" w:hAnsi="Arial" w:cs="Arial"/>
          <w:color w:val="0D0D0D" w:themeColor="text1" w:themeTint="F2"/>
        </w:rPr>
        <w:br/>
        <w:t>7. Risk Score Calculation</w:t>
      </w:r>
      <w:r w:rsidRPr="00C903EF">
        <w:rPr>
          <w:rFonts w:ascii="Arial" w:hAnsi="Arial" w:cs="Arial"/>
          <w:color w:val="0D0D0D" w:themeColor="text1" w:themeTint="F2"/>
        </w:rPr>
        <w:br/>
        <w:t>8. Industry-specific Weighting</w:t>
      </w:r>
      <w:r w:rsidRPr="00C903EF">
        <w:rPr>
          <w:rFonts w:ascii="Arial" w:hAnsi="Arial" w:cs="Arial"/>
          <w:color w:val="0D0D0D" w:themeColor="text1" w:themeTint="F2"/>
        </w:rPr>
        <w:br/>
        <w:t>9. Recommendation Generation</w:t>
      </w:r>
      <w:r w:rsidRPr="00C903EF">
        <w:rPr>
          <w:rFonts w:ascii="Arial" w:hAnsi="Arial" w:cs="Arial"/>
          <w:color w:val="0D0D0D" w:themeColor="text1" w:themeTint="F2"/>
        </w:rPr>
        <w:br/>
        <w:t>10. Streamlit Dashboard Development</w:t>
      </w:r>
    </w:p>
    <w:p w14:paraId="4768BF40"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Opportunity Score</w:t>
      </w:r>
    </w:p>
    <w:p w14:paraId="187DDDC2"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The Opportunity Score measures overall business attractiveness by combining scaled demographic, economic, accessibility, growth and competition indicators. Higher scores indicate stronger expansion potential.</w:t>
      </w:r>
    </w:p>
    <w:p w14:paraId="2FB11758"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Risk Score</w:t>
      </w:r>
    </w:p>
    <w:p w14:paraId="37D969D4"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The Risk Score identifies factors that may reduce the attractiveness of expansion, such as higher competitive pressure. Opportunity and Risk are evaluated together before making recommendations.</w:t>
      </w:r>
    </w:p>
    <w:p w14:paraId="2ABDC235"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Industry Recommendation Engine</w:t>
      </w:r>
    </w:p>
    <w:p w14:paraId="4CD03D13"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 xml:space="preserve">Different industries value different characteristics. Retail favours population, accessibility and growth. Health Insurance places greater emphasis on income and demographics. </w:t>
      </w:r>
      <w:r w:rsidRPr="00C903EF">
        <w:rPr>
          <w:rFonts w:ascii="Arial" w:hAnsi="Arial" w:cs="Arial"/>
          <w:color w:val="0D0D0D" w:themeColor="text1" w:themeTint="F2"/>
        </w:rPr>
        <w:lastRenderedPageBreak/>
        <w:t>Telecommunications prioritises growth, connectivity and customer base. This produces different rankings for different industries.</w:t>
      </w:r>
    </w:p>
    <w:p w14:paraId="6BC3E93A"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Dashboard Features</w:t>
      </w:r>
    </w:p>
    <w:p w14:paraId="55D7426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 KPI Dashboard</w:t>
      </w:r>
      <w:r w:rsidRPr="00C903EF">
        <w:rPr>
          <w:rFonts w:ascii="Arial" w:hAnsi="Arial" w:cs="Arial"/>
          <w:color w:val="0D0D0D" w:themeColor="text1" w:themeTint="F2"/>
        </w:rPr>
        <w:br/>
        <w:t>• Industry Selector</w:t>
      </w:r>
      <w:r w:rsidRPr="00C903EF">
        <w:rPr>
          <w:rFonts w:ascii="Arial" w:hAnsi="Arial" w:cs="Arial"/>
          <w:color w:val="0D0D0D" w:themeColor="text1" w:themeTint="F2"/>
        </w:rPr>
        <w:br/>
        <w:t>• Dynamic Top-5 Recommendations</w:t>
      </w:r>
      <w:r w:rsidRPr="00C903EF">
        <w:rPr>
          <w:rFonts w:ascii="Arial" w:hAnsi="Arial" w:cs="Arial"/>
          <w:color w:val="0D0D0D" w:themeColor="text1" w:themeTint="F2"/>
        </w:rPr>
        <w:br/>
        <w:t>• Interactive Ranking Charts</w:t>
      </w:r>
      <w:r w:rsidRPr="00C903EF">
        <w:rPr>
          <w:rFonts w:ascii="Arial" w:hAnsi="Arial" w:cs="Arial"/>
          <w:color w:val="0D0D0D" w:themeColor="text1" w:themeTint="F2"/>
        </w:rPr>
        <w:br/>
        <w:t>• Opportunity vs Risk Analysis</w:t>
      </w:r>
      <w:r w:rsidRPr="00C903EF">
        <w:rPr>
          <w:rFonts w:ascii="Arial" w:hAnsi="Arial" w:cs="Arial"/>
          <w:color w:val="0D0D0D" w:themeColor="text1" w:themeTint="F2"/>
        </w:rPr>
        <w:br/>
        <w:t>• Suburb Explorer</w:t>
      </w:r>
      <w:r w:rsidRPr="00C903EF">
        <w:rPr>
          <w:rFonts w:ascii="Arial" w:hAnsi="Arial" w:cs="Arial"/>
          <w:color w:val="0D0D0D" w:themeColor="text1" w:themeTint="F2"/>
        </w:rPr>
        <w:br/>
        <w:t>• Suburb Comparison</w:t>
      </w:r>
      <w:r w:rsidRPr="00C903EF">
        <w:rPr>
          <w:rFonts w:ascii="Arial" w:hAnsi="Arial" w:cs="Arial"/>
          <w:color w:val="0D0D0D" w:themeColor="text1" w:themeTint="F2"/>
        </w:rPr>
        <w:br/>
        <w:t>• Executive Recommendation</w:t>
      </w:r>
      <w:r w:rsidRPr="00C903EF">
        <w:rPr>
          <w:rFonts w:ascii="Arial" w:hAnsi="Arial" w:cs="Arial"/>
          <w:color w:val="0D0D0D" w:themeColor="text1" w:themeTint="F2"/>
        </w:rPr>
        <w:br/>
        <w:t>• CSV Export</w:t>
      </w:r>
    </w:p>
    <w:p w14:paraId="3E1BCF60"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Technology Stack</w:t>
      </w:r>
    </w:p>
    <w:p w14:paraId="4BEF5AC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Python, Pandas, NumPy, Scikit-learn, Plotly, Streamlit, OpenPyXL, Google Colab, Visual Studio Code, GitHub.</w:t>
      </w:r>
    </w:p>
    <w:p w14:paraId="387B953C"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Business Value</w:t>
      </w:r>
    </w:p>
    <w:p w14:paraId="7818F70F"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The platform enables organisations to compare locations objectively, identify promising suburbs, understand trade-offs between opportunity and risk and support evidence-based expansion decisions.</w:t>
      </w:r>
    </w:p>
    <w:p w14:paraId="70CAF99A"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Limitations</w:t>
      </w:r>
    </w:p>
    <w:p w14:paraId="35D66C3A"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The project is a proof of concept using a curated dataset and rule-based weighting. A production version would include live ABS data, property information, GIS mapping and additional commercial indicators.</w:t>
      </w:r>
    </w:p>
    <w:p w14:paraId="7E02BA78"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Future Enhancements</w:t>
      </w:r>
    </w:p>
    <w:p w14:paraId="49B87FC9"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ABS API integration, real-time market updates, machine learning prediction models, GIS maps, commercial property data, configurable weightings, PDF report generation and cloud deployment.</w:t>
      </w:r>
    </w:p>
    <w:p w14:paraId="460B14F7"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Interview Preparation</w:t>
      </w:r>
    </w:p>
    <w:p w14:paraId="3230247E"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Be prepared to explain why each dataset column matters, why features were scaled, how Opportunity and Risk Scores differ, why industries use different weightings, why Streamlit was selected and how the recommendations support business decisions.</w:t>
      </w:r>
    </w:p>
    <w:p w14:paraId="7BF4CAAA" w14:textId="77777777" w:rsidR="00455B8F" w:rsidRPr="00C903EF" w:rsidRDefault="00000000">
      <w:pPr>
        <w:pStyle w:val="Heading2"/>
        <w:rPr>
          <w:rFonts w:ascii="Arial" w:hAnsi="Arial" w:cs="Arial"/>
          <w:color w:val="0D0D0D" w:themeColor="text1" w:themeTint="F2"/>
        </w:rPr>
      </w:pPr>
      <w:r w:rsidRPr="00C903EF">
        <w:rPr>
          <w:rFonts w:ascii="Arial" w:hAnsi="Arial" w:cs="Arial"/>
          <w:color w:val="0D0D0D" w:themeColor="text1" w:themeTint="F2"/>
        </w:rPr>
        <w:t>Resume Summary</w:t>
      </w:r>
    </w:p>
    <w:p w14:paraId="790FD43D" w14:textId="77777777" w:rsidR="00455B8F" w:rsidRPr="00C903EF" w:rsidRDefault="00000000">
      <w:pPr>
        <w:rPr>
          <w:rFonts w:ascii="Arial" w:hAnsi="Arial" w:cs="Arial"/>
          <w:color w:val="0D0D0D" w:themeColor="text1" w:themeTint="F2"/>
        </w:rPr>
      </w:pPr>
      <w:r w:rsidRPr="00C903EF">
        <w:rPr>
          <w:rFonts w:ascii="Arial" w:hAnsi="Arial" w:cs="Arial"/>
          <w:color w:val="0D0D0D" w:themeColor="text1" w:themeTint="F2"/>
        </w:rPr>
        <w:t>Developed MarketScope AI, an end-to-end location intelligence platform that analyses Australian suburbs using Opportunity, Risk and industry-specific scoring models to support business expansion decisions through an interactive Streamlit dashboard.</w:t>
      </w:r>
    </w:p>
    <w:sectPr w:rsidR="00455B8F" w:rsidRPr="00C90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9745051">
    <w:abstractNumId w:val="8"/>
  </w:num>
  <w:num w:numId="2" w16cid:durableId="1028682584">
    <w:abstractNumId w:val="6"/>
  </w:num>
  <w:num w:numId="3" w16cid:durableId="1310284060">
    <w:abstractNumId w:val="5"/>
  </w:num>
  <w:num w:numId="4" w16cid:durableId="1328901619">
    <w:abstractNumId w:val="4"/>
  </w:num>
  <w:num w:numId="5" w16cid:durableId="553155835">
    <w:abstractNumId w:val="7"/>
  </w:num>
  <w:num w:numId="6" w16cid:durableId="1975988680">
    <w:abstractNumId w:val="3"/>
  </w:num>
  <w:num w:numId="7" w16cid:durableId="2008438695">
    <w:abstractNumId w:val="2"/>
  </w:num>
  <w:num w:numId="8" w16cid:durableId="1908033785">
    <w:abstractNumId w:val="1"/>
  </w:num>
  <w:num w:numId="9" w16cid:durableId="888221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B8F"/>
    <w:rsid w:val="00AA1D8D"/>
    <w:rsid w:val="00B47730"/>
    <w:rsid w:val="00C903EF"/>
    <w:rsid w:val="00CB0664"/>
    <w:rsid w:val="00E6327C"/>
    <w:rsid w:val="00EB0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97F4A"/>
  <w14:defaultImageDpi w14:val="300"/>
  <w15:docId w15:val="{02169C29-B804-504C-BB09-0858115F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GUPTA</cp:lastModifiedBy>
  <cp:revision>2</cp:revision>
  <dcterms:created xsi:type="dcterms:W3CDTF">2026-07-19T12:45:00Z</dcterms:created>
  <dcterms:modified xsi:type="dcterms:W3CDTF">2026-07-19T12:45:00Z</dcterms:modified>
  <cp:category/>
</cp:coreProperties>
</file>