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5FEE" w14:textId="77777777" w:rsidR="000868CE" w:rsidRDefault="00000000">
      <w:pPr>
        <w:spacing w:after="60"/>
      </w:pPr>
      <w:r>
        <w:rPr>
          <w:b/>
          <w:bCs/>
          <w:color w:val="1F4E79"/>
          <w:sz w:val="38"/>
          <w:szCs w:val="38"/>
        </w:rPr>
        <w:t>Airline Loyalty Program</w:t>
      </w:r>
    </w:p>
    <w:p w14:paraId="0382F326" w14:textId="77777777" w:rsidR="000868CE" w:rsidRDefault="00000000">
      <w:pPr>
        <w:spacing w:after="80"/>
      </w:pPr>
      <w:r>
        <w:rPr>
          <w:b/>
          <w:bCs/>
          <w:color w:val="2E75B6"/>
          <w:sz w:val="26"/>
          <w:szCs w:val="26"/>
        </w:rPr>
        <w:t>Churn Analysis and Retention Recommendations</w:t>
      </w:r>
    </w:p>
    <w:p w14:paraId="51B6A96F" w14:textId="77777777" w:rsidR="000868CE" w:rsidRDefault="00000000">
      <w:pPr>
        <w:spacing w:after="160"/>
      </w:pPr>
      <w:r>
        <w:rPr>
          <w:i/>
          <w:iCs/>
          <w:color w:val="666666"/>
          <w:sz w:val="19"/>
          <w:szCs w:val="19"/>
        </w:rPr>
        <w:t xml:space="preserve">Based on </w:t>
      </w:r>
      <w:proofErr w:type="gramStart"/>
      <w:r>
        <w:rPr>
          <w:i/>
          <w:iCs/>
          <w:color w:val="666666"/>
          <w:sz w:val="19"/>
          <w:szCs w:val="19"/>
        </w:rPr>
        <w:t>2017 member</w:t>
      </w:r>
      <w:proofErr w:type="gramEnd"/>
      <w:r>
        <w:rPr>
          <w:i/>
          <w:iCs/>
          <w:color w:val="666666"/>
          <w:sz w:val="19"/>
          <w:szCs w:val="19"/>
        </w:rPr>
        <w:t xml:space="preserve"> activity data. Prepared June 2026 for the CFO and CMO.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68CE" w14:paraId="287BA363" w14:textId="77777777">
        <w:tblPrEx>
          <w:tblCellMar>
            <w:top w:w="0" w:type="dxa"/>
            <w:bottom w:w="0" w:type="dxa"/>
          </w:tblCellMar>
        </w:tblPrEx>
        <w:tc>
          <w:tcPr>
            <w:tcW w:w="1872" w:type="dxa"/>
            <w:shd w:val="clear" w:color="auto" w:fill="F2F7FC"/>
            <w:tcMar>
              <w:top w:w="100" w:type="dxa"/>
              <w:left w:w="100" w:type="dxa"/>
              <w:bottom w:w="100" w:type="dxa"/>
              <w:right w:w="100" w:type="dxa"/>
            </w:tcMar>
          </w:tcPr>
          <w:p w14:paraId="678EDCBE" w14:textId="77777777" w:rsidR="000868CE" w:rsidRDefault="00000000">
            <w:pPr>
              <w:jc w:val="center"/>
            </w:pPr>
            <w:r>
              <w:rPr>
                <w:b/>
                <w:bCs/>
                <w:color w:val="1F4E79"/>
                <w:sz w:val="30"/>
                <w:szCs w:val="30"/>
              </w:rPr>
              <w:t>13,520</w:t>
            </w:r>
          </w:p>
          <w:p w14:paraId="6EB7418F" w14:textId="77777777" w:rsidR="000868CE" w:rsidRDefault="00000000">
            <w:pPr>
              <w:spacing w:before="30"/>
              <w:jc w:val="center"/>
            </w:pPr>
            <w:r>
              <w:rPr>
                <w:color w:val="444444"/>
                <w:sz w:val="17"/>
                <w:szCs w:val="17"/>
              </w:rPr>
              <w:t xml:space="preserve">Members </w:t>
            </w:r>
            <w:proofErr w:type="spellStart"/>
            <w:r>
              <w:rPr>
                <w:color w:val="444444"/>
                <w:sz w:val="17"/>
                <w:szCs w:val="17"/>
              </w:rPr>
              <w:t>Analyzed</w:t>
            </w:r>
            <w:proofErr w:type="spellEnd"/>
          </w:p>
        </w:tc>
        <w:tc>
          <w:tcPr>
            <w:tcW w:w="1872" w:type="dxa"/>
            <w:shd w:val="clear" w:color="auto" w:fill="F2F7FC"/>
            <w:tcMar>
              <w:top w:w="100" w:type="dxa"/>
              <w:left w:w="100" w:type="dxa"/>
              <w:bottom w:w="100" w:type="dxa"/>
              <w:right w:w="100" w:type="dxa"/>
            </w:tcMar>
          </w:tcPr>
          <w:p w14:paraId="075AF14E" w14:textId="77777777" w:rsidR="000868CE" w:rsidRDefault="00000000">
            <w:pPr>
              <w:jc w:val="center"/>
            </w:pPr>
            <w:r>
              <w:rPr>
                <w:b/>
                <w:bCs/>
                <w:color w:val="1F4E79"/>
                <w:sz w:val="30"/>
                <w:szCs w:val="30"/>
              </w:rPr>
              <w:t>7.0%</w:t>
            </w:r>
          </w:p>
          <w:p w14:paraId="46E7F59B" w14:textId="77777777" w:rsidR="000868CE" w:rsidRDefault="00000000">
            <w:pPr>
              <w:spacing w:before="30"/>
              <w:jc w:val="center"/>
            </w:pPr>
            <w:r>
              <w:rPr>
                <w:color w:val="444444"/>
                <w:sz w:val="17"/>
                <w:szCs w:val="17"/>
              </w:rPr>
              <w:t>Churn Rate</w:t>
            </w:r>
          </w:p>
        </w:tc>
        <w:tc>
          <w:tcPr>
            <w:tcW w:w="1872" w:type="dxa"/>
            <w:shd w:val="clear" w:color="auto" w:fill="F2F7FC"/>
            <w:tcMar>
              <w:top w:w="100" w:type="dxa"/>
              <w:left w:w="100" w:type="dxa"/>
              <w:bottom w:w="100" w:type="dxa"/>
              <w:right w:w="100" w:type="dxa"/>
            </w:tcMar>
          </w:tcPr>
          <w:p w14:paraId="4BC624F5" w14:textId="77777777" w:rsidR="000868CE" w:rsidRDefault="00000000">
            <w:pPr>
              <w:jc w:val="center"/>
            </w:pPr>
            <w:r>
              <w:rPr>
                <w:b/>
                <w:bCs/>
                <w:color w:val="1F4E79"/>
                <w:sz w:val="30"/>
                <w:szCs w:val="30"/>
              </w:rPr>
              <w:t>$107.9M</w:t>
            </w:r>
          </w:p>
          <w:p w14:paraId="0B84A931" w14:textId="77777777" w:rsidR="000868CE" w:rsidRDefault="00000000">
            <w:pPr>
              <w:spacing w:before="30"/>
              <w:jc w:val="center"/>
            </w:pPr>
            <w:r>
              <w:rPr>
                <w:color w:val="444444"/>
                <w:sz w:val="17"/>
                <w:szCs w:val="17"/>
              </w:rPr>
              <w:t>Total CLV</w:t>
            </w:r>
          </w:p>
        </w:tc>
        <w:tc>
          <w:tcPr>
            <w:tcW w:w="1872" w:type="dxa"/>
            <w:shd w:val="clear" w:color="auto" w:fill="F2F7FC"/>
            <w:tcMar>
              <w:top w:w="100" w:type="dxa"/>
              <w:left w:w="100" w:type="dxa"/>
              <w:bottom w:w="100" w:type="dxa"/>
              <w:right w:w="100" w:type="dxa"/>
            </w:tcMar>
          </w:tcPr>
          <w:p w14:paraId="7B5B7CA3" w14:textId="77777777" w:rsidR="000868CE" w:rsidRDefault="00000000">
            <w:pPr>
              <w:jc w:val="center"/>
            </w:pPr>
            <w:r>
              <w:rPr>
                <w:b/>
                <w:bCs/>
                <w:color w:val="1F4E79"/>
                <w:sz w:val="30"/>
                <w:szCs w:val="30"/>
              </w:rPr>
              <w:t>$7.0M</w:t>
            </w:r>
          </w:p>
          <w:p w14:paraId="7FC9701F" w14:textId="77777777" w:rsidR="000868CE" w:rsidRDefault="00000000">
            <w:pPr>
              <w:spacing w:before="30"/>
              <w:jc w:val="center"/>
            </w:pPr>
            <w:r>
              <w:rPr>
                <w:color w:val="444444"/>
                <w:sz w:val="17"/>
                <w:szCs w:val="17"/>
              </w:rPr>
              <w:t>CLV at High Risk</w:t>
            </w:r>
          </w:p>
        </w:tc>
        <w:tc>
          <w:tcPr>
            <w:tcW w:w="1872" w:type="dxa"/>
            <w:shd w:val="clear" w:color="auto" w:fill="F2F7FC"/>
            <w:tcMar>
              <w:top w:w="100" w:type="dxa"/>
              <w:left w:w="100" w:type="dxa"/>
              <w:bottom w:w="100" w:type="dxa"/>
              <w:right w:w="100" w:type="dxa"/>
            </w:tcMar>
          </w:tcPr>
          <w:p w14:paraId="6DDF5FA7" w14:textId="77777777" w:rsidR="000868CE" w:rsidRDefault="00000000">
            <w:pPr>
              <w:jc w:val="center"/>
            </w:pPr>
            <w:r>
              <w:rPr>
                <w:b/>
                <w:bCs/>
                <w:color w:val="1F4E79"/>
                <w:sz w:val="30"/>
                <w:szCs w:val="30"/>
              </w:rPr>
              <w:t>0.74</w:t>
            </w:r>
          </w:p>
          <w:p w14:paraId="2D657664" w14:textId="77777777" w:rsidR="000868CE" w:rsidRDefault="00000000">
            <w:pPr>
              <w:spacing w:before="30"/>
              <w:jc w:val="center"/>
            </w:pPr>
            <w:r>
              <w:rPr>
                <w:color w:val="444444"/>
                <w:sz w:val="17"/>
                <w:szCs w:val="17"/>
              </w:rPr>
              <w:t>Model AUC</w:t>
            </w:r>
          </w:p>
        </w:tc>
      </w:tr>
    </w:tbl>
    <w:p w14:paraId="2A37C443" w14:textId="77777777" w:rsidR="000868CE" w:rsidRDefault="000868CE"/>
    <w:p w14:paraId="38711A21" w14:textId="77777777" w:rsidR="000868CE" w:rsidRDefault="00000000">
      <w:pPr>
        <w:pStyle w:val="Heading1"/>
        <w:pBdr>
          <w:bottom w:val="single" w:sz="6" w:space="4" w:color="2E75B6"/>
        </w:pBdr>
      </w:pPr>
      <w:r>
        <w:t>Why We Did This</w:t>
      </w:r>
    </w:p>
    <w:p w14:paraId="66042B05" w14:textId="77777777" w:rsidR="000868CE" w:rsidRDefault="00000000">
      <w:pPr>
        <w:spacing w:before="40" w:after="100"/>
      </w:pPr>
      <w:r>
        <w:t>Members rarely tell us when they are about to leave. They just fly a little less, then a little less again, and one day they stop completely. By the time it shows up in the yearly numbers, the moment to do something about it has usually passed.</w:t>
      </w:r>
    </w:p>
    <w:p w14:paraId="48F34026" w14:textId="77777777" w:rsidR="000868CE" w:rsidRDefault="00000000">
      <w:pPr>
        <w:spacing w:before="40" w:after="100"/>
      </w:pPr>
      <w:r>
        <w:t>We wanted to get ahead of that. Using a full year of member activity (2017) along with their loyalty history, we built a model that estimates how likely each of our 13,520 members is to stop flying with us, and grouped members into segments so we know not just who is at risk, but why, and what to offer them.</w:t>
      </w:r>
    </w:p>
    <w:p w14:paraId="36F0C9C5" w14:textId="77777777" w:rsidR="000868CE" w:rsidRDefault="00000000">
      <w:pPr>
        <w:spacing w:before="40" w:after="100"/>
      </w:pPr>
      <w:r>
        <w:t>The total lifetime value of this membership base is roughly $107.9 million. Even a small improvement in how many at risk members we keep translates into real money, especially since most of the interventions involved are cheap relative to what a lost customer is worth.</w:t>
      </w:r>
    </w:p>
    <w:p w14:paraId="4E796DD9" w14:textId="77777777" w:rsidR="000868CE" w:rsidRDefault="00000000">
      <w:pPr>
        <w:spacing w:before="40" w:after="100"/>
      </w:pPr>
      <w:r>
        <w:t xml:space="preserve">This report is written for the two people who ultimately decide whether any of </w:t>
      </w:r>
      <w:proofErr w:type="gramStart"/>
      <w:r>
        <w:t>this turns</w:t>
      </w:r>
      <w:proofErr w:type="gramEnd"/>
      <w:r>
        <w:t xml:space="preserve"> into action: the CFO, who needs to know the dollar value at stake and what it would cost to address it, and the CMO, who needs to know which members to talk to, what to say, and through which channel. Everything below is written to be read without a statistics background, though the underlying analysis can be reviewed in detail 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8CE" w14:paraId="727F3792" w14:textId="77777777">
        <w:tblPrEx>
          <w:tblCellMar>
            <w:top w:w="0" w:type="dxa"/>
            <w:bottom w:w="0" w:type="dxa"/>
          </w:tblCellMar>
        </w:tblPrEx>
        <w:tc>
          <w:tcPr>
            <w:tcW w:w="9360" w:type="dxa"/>
            <w:shd w:val="clear" w:color="auto" w:fill="F2F7FC"/>
            <w:tcMar>
              <w:top w:w="100" w:type="dxa"/>
              <w:left w:w="180" w:type="dxa"/>
              <w:bottom w:w="100" w:type="dxa"/>
              <w:right w:w="180" w:type="dxa"/>
            </w:tcMar>
          </w:tcPr>
          <w:p w14:paraId="2377EB29" w14:textId="77777777" w:rsidR="000868CE" w:rsidRDefault="00000000">
            <w:pPr>
              <w:spacing w:before="20" w:after="40"/>
            </w:pPr>
            <w:r>
              <w:rPr>
                <w:b/>
                <w:bCs/>
                <w:color w:val="1F4E79"/>
              </w:rPr>
              <w:t>The short version</w:t>
            </w:r>
          </w:p>
          <w:p w14:paraId="4A8548C1" w14:textId="77777777" w:rsidR="000868CE" w:rsidRDefault="00000000">
            <w:pPr>
              <w:spacing w:before="20" w:after="20"/>
            </w:pPr>
            <w:r>
              <w:t>Overall churn looks manageable at 7%, but that number hides a real problem: two specific groups of members are churning at 11 to 15%.</w:t>
            </w:r>
          </w:p>
          <w:p w14:paraId="7644EB2D" w14:textId="77777777" w:rsidR="000868CE" w:rsidRDefault="00000000">
            <w:pPr>
              <w:spacing w:before="20" w:after="20"/>
            </w:pPr>
            <w:r>
              <w:t>Our highest spending members (averaging $13,699 in lifetime value) are not as safe as their spending suggests. About 49% churn probability shows up in part of this group.</w:t>
            </w:r>
          </w:p>
          <w:p w14:paraId="4CFF2019" w14:textId="77777777" w:rsidR="000868CE" w:rsidRDefault="00000000">
            <w:pPr>
              <w:spacing w:before="20" w:after="20"/>
            </w:pPr>
            <w:r>
              <w:t>The model gives us enough warning to act. The recommendations at the end of this report turn that warning into specific actions with owners attached.</w:t>
            </w:r>
          </w:p>
        </w:tc>
      </w:tr>
    </w:tbl>
    <w:p w14:paraId="1583C9BD" w14:textId="77777777" w:rsidR="000868CE" w:rsidRDefault="00000000">
      <w:pPr>
        <w:pStyle w:val="Heading1"/>
        <w:pBdr>
          <w:bottom w:val="single" w:sz="6" w:space="4" w:color="2E75B6"/>
        </w:pBdr>
      </w:pPr>
      <w:r>
        <w:t>The Data and How We Cleaned It</w:t>
      </w:r>
    </w:p>
    <w:p w14:paraId="7BDF0823" w14:textId="77777777" w:rsidR="000868CE" w:rsidRDefault="00000000">
      <w:pPr>
        <w:spacing w:before="40" w:after="100"/>
      </w:pPr>
      <w:r>
        <w:t>We combined three sources: the loyalty history file (who members are, what card tier they hold, when they enrolled), the flight activity file (every flight, every member, all of 2017), and a calendar reference used to map flight dates to quarters. For each member we calculated total flights, total distance, points earned and redeemed, how many months they were active, and how long it has been since their last flight.</w:t>
      </w:r>
    </w:p>
    <w:p w14:paraId="36481490" w14:textId="77777777" w:rsidR="000868CE" w:rsidRDefault="00000000">
      <w:pPr>
        <w:spacing w:before="40" w:after="100"/>
      </w:pPr>
      <w:r>
        <w:t>A few things were particularly useful once we built them. Activity rate (the share of months a member actually flew) turned out to matter more than raw flight counts, because it accounts for how long someone has been a member. Redemption ratio (points redeemed versus points earned) flagged members who accumulate points without ever using them, which is often a sign they have not really bought into the program. And months since last flight was, on its own, one of the strongest signals we found.</w:t>
      </w:r>
    </w:p>
    <w:p w14:paraId="064996E2" w14:textId="77777777" w:rsidR="000868CE" w:rsidRDefault="00000000">
      <w:pPr>
        <w:spacing w:before="40" w:after="100"/>
      </w:pPr>
      <w:r>
        <w:t>Three cleaning decisions are worth flagging because they shaped the results.</w:t>
      </w:r>
    </w:p>
    <w:p w14:paraId="502E02EA" w14:textId="77777777" w:rsidR="000868CE" w:rsidRDefault="00000000">
      <w:pPr>
        <w:pStyle w:val="ListParagraph"/>
        <w:numPr>
          <w:ilvl w:val="0"/>
          <w:numId w:val="2"/>
        </w:numPr>
        <w:spacing w:before="20" w:after="20"/>
      </w:pPr>
      <w:r>
        <w:lastRenderedPageBreak/>
        <w:t>About a quarter of members had no salary on file. Rather than drop them, which would have skewed the dataset toward members willing to share that information, we filled in the gap using the median salary for similar members (by province and education level), and kept a flag noting which records were filled in so the model could account for it.</w:t>
      </w:r>
    </w:p>
    <w:p w14:paraId="1032A84C" w14:textId="77777777" w:rsidR="000868CE" w:rsidRDefault="00000000">
      <w:pPr>
        <w:pStyle w:val="ListParagraph"/>
        <w:numPr>
          <w:ilvl w:val="0"/>
          <w:numId w:val="2"/>
        </w:numPr>
        <w:spacing w:before="20" w:after="20"/>
      </w:pPr>
      <w:r>
        <w:t>There was no existing churn label in the data, so we defined one. A member counts as churned if they took no flights in the last quarter of the year and had already been inactive for several months. This is a deliberately conservative definition. It produced a 7% churn rate, which lines up with what is typical for an established loyalty program.</w:t>
      </w:r>
    </w:p>
    <w:p w14:paraId="026F248F" w14:textId="77777777" w:rsidR="000868CE" w:rsidRDefault="00000000">
      <w:pPr>
        <w:pStyle w:val="ListParagraph"/>
        <w:numPr>
          <w:ilvl w:val="0"/>
          <w:numId w:val="2"/>
        </w:numPr>
        <w:spacing w:before="20" w:after="20"/>
      </w:pPr>
      <w:r>
        <w:t>A handful of members had unusually high flight counts, likely corporate accounts or travel agents rather than individual flyers. We kept them in the dataset rather than removing them, since the model can simply treat them as their own kind of customer.</w:t>
      </w:r>
    </w:p>
    <w:p w14:paraId="7CDA3738" w14:textId="77777777" w:rsidR="000868CE" w:rsidRDefault="00000000">
      <w:pPr>
        <w:pStyle w:val="Heading1"/>
        <w:pBdr>
          <w:bottom w:val="single" w:sz="6" w:space="4" w:color="2E75B6"/>
        </w:pBdr>
      </w:pPr>
      <w:r>
        <w:t>How the Model Works</w:t>
      </w:r>
    </w:p>
    <w:p w14:paraId="5A85652B" w14:textId="77777777" w:rsidR="000868CE" w:rsidRDefault="00000000">
      <w:pPr>
        <w:spacing w:before="40" w:after="100"/>
      </w:pPr>
      <w:r>
        <w:t>We used logistic regression, which is a simpler model than some of the more fashionable options, and that was a deliberate choice for two reasons.</w:t>
      </w:r>
    </w:p>
    <w:p w14:paraId="4A86FCE9" w14:textId="77777777" w:rsidR="000868CE" w:rsidRDefault="00000000">
      <w:pPr>
        <w:spacing w:before="40" w:after="100"/>
      </w:pPr>
      <w:r>
        <w:t>The first is that it is interpretable. We can point to exactly which factors are pushing a given member's risk score up or down. That matters because it lets us tell the marketing team not just that a member is high risk, but why, for example, that they have not flown in eight months and have never redeemed a point. That is the difference between a generic email and an offer that actually fits the person.</w:t>
      </w:r>
    </w:p>
    <w:p w14:paraId="37A14BC4" w14:textId="77777777" w:rsidR="000868CE" w:rsidRDefault="00000000">
      <w:pPr>
        <w:spacing w:before="40" w:after="100"/>
      </w:pPr>
      <w:r>
        <w:t>The second reason is that it holds up well on new data. With around 13,500 members and a manageable set of features, a simpler model is less likely to latch onto quirks in the training data that would not show up again next year. We tested this on data the model had not seen, and it performed consistently.</w:t>
      </w:r>
    </w:p>
    <w:p w14:paraId="41E45EDE" w14:textId="77777777" w:rsidR="000868CE" w:rsidRDefault="00000000">
      <w:pPr>
        <w:spacing w:before="40" w:after="100"/>
      </w:pPr>
      <w:r>
        <w:t xml:space="preserve">On that test data, the model scored an AUC of 0.74. In plain terms, if you picked one member who churned and one who did not, the model would correctly tell them apart about 74% of the time, versus 50% for a coin flip. That is a solid result for this kind of problem, where plenty of what drives a person's decision (a new job, a cheaper flight on another airline, a </w:t>
      </w:r>
      <w:proofErr w:type="gramStart"/>
      <w:r>
        <w:t>one off</w:t>
      </w:r>
      <w:proofErr w:type="gramEnd"/>
      <w:r>
        <w:t xml:space="preserve"> bad experience) simply is not in our data.</w:t>
      </w:r>
    </w:p>
    <w:p w14:paraId="71183B1E" w14:textId="77777777" w:rsidR="000868CE" w:rsidRDefault="00000000">
      <w:pPr>
        <w:spacing w:before="40" w:after="100"/>
      </w:pPr>
      <w:r>
        <w:t xml:space="preserve">Because the model is interpretable, we can also rank the factors driving risk in order of importance. Months since last flight, activity rate, and redemption ratio consistently came out on top, ahead of demographic variables like salary, card tier, or marital status. This matters operationally: it tells us that </w:t>
      </w:r>
      <w:proofErr w:type="spellStart"/>
      <w:r>
        <w:t>behavior</w:t>
      </w:r>
      <w:proofErr w:type="spellEnd"/>
      <w:r>
        <w:t>, not background, is what predicts whether someone stays. Two members with identical income and card tier can have very different risk scores depending on how recently and how often they fly.</w:t>
      </w:r>
    </w:p>
    <w:p w14:paraId="49A0F13F" w14:textId="77777777" w:rsidR="000868CE" w:rsidRDefault="00000000">
      <w:pPr>
        <w:spacing w:before="40" w:after="100"/>
      </w:pPr>
      <w:r>
        <w:t>We used the resulting scores to sort members into three risk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68CE" w14:paraId="0D474CA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53E7C3" w14:textId="77777777" w:rsidR="000868CE" w:rsidRDefault="00000000">
            <w:pPr>
              <w:jc w:val="center"/>
            </w:pPr>
            <w:r>
              <w:rPr>
                <w:b/>
                <w:bCs/>
                <w:color w:val="FFFFFF"/>
                <w:sz w:val="19"/>
                <w:szCs w:val="19"/>
              </w:rPr>
              <w:t>Risk Tier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EEF091" w14:textId="77777777" w:rsidR="000868CE" w:rsidRDefault="00000000">
            <w:pPr>
              <w:jc w:val="center"/>
            </w:pPr>
            <w:r>
              <w:rPr>
                <w:b/>
                <w:bCs/>
                <w:color w:val="FFFFFF"/>
                <w:sz w:val="19"/>
                <w:szCs w:val="19"/>
              </w:rPr>
              <w:t>Members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8FC483" w14:textId="77777777" w:rsidR="000868CE" w:rsidRDefault="00000000">
            <w:pPr>
              <w:jc w:val="center"/>
            </w:pPr>
            <w:r>
              <w:rPr>
                <w:b/>
                <w:bCs/>
                <w:color w:val="FFFFFF"/>
                <w:sz w:val="19"/>
                <w:szCs w:val="19"/>
              </w:rPr>
              <w:t>Share of Total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72CDA0" w14:textId="77777777" w:rsidR="000868CE" w:rsidRDefault="00000000">
            <w:pPr>
              <w:jc w:val="center"/>
            </w:pPr>
            <w:proofErr w:type="spellStart"/>
            <w:r>
              <w:rPr>
                <w:b/>
                <w:bCs/>
                <w:color w:val="FFFFFF"/>
                <w:sz w:val="19"/>
                <w:szCs w:val="19"/>
              </w:rPr>
              <w:t>Avg</w:t>
            </w:r>
            <w:proofErr w:type="spellEnd"/>
            <w:r>
              <w:rPr>
                <w:b/>
                <w:bCs/>
                <w:color w:val="FFFFFF"/>
                <w:sz w:val="19"/>
                <w:szCs w:val="19"/>
              </w:rPr>
              <w:t xml:space="preserve"> Churn Probability</w:t>
            </w:r>
          </w:p>
        </w:tc>
      </w:tr>
      <w:tr w:rsidR="000868CE" w14:paraId="6DA1E6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4F1EC" w14:textId="77777777" w:rsidR="000868CE" w:rsidRDefault="00000000">
            <w:r>
              <w:rPr>
                <w:sz w:val="19"/>
                <w:szCs w:val="19"/>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1AE3E" w14:textId="77777777" w:rsidR="000868CE" w:rsidRDefault="00000000">
            <w:pPr>
              <w:jc w:val="center"/>
            </w:pPr>
            <w:r>
              <w:rPr>
                <w:sz w:val="19"/>
                <w:szCs w:val="19"/>
              </w:rPr>
              <w:t>1,028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739E" w14:textId="77777777" w:rsidR="000868CE" w:rsidRDefault="00000000">
            <w:pPr>
              <w:jc w:val="center"/>
            </w:pPr>
            <w:r>
              <w:rPr>
                <w:sz w:val="19"/>
                <w:szCs w:val="19"/>
              </w:rPr>
              <w:t>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E3EF4" w14:textId="77777777" w:rsidR="000868CE" w:rsidRDefault="00000000">
            <w:pPr>
              <w:jc w:val="center"/>
            </w:pPr>
            <w:r>
              <w:rPr>
                <w:sz w:val="19"/>
                <w:szCs w:val="19"/>
              </w:rPr>
              <w:t>64%</w:t>
            </w:r>
          </w:p>
        </w:tc>
      </w:tr>
      <w:tr w:rsidR="000868CE" w14:paraId="2A54D6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709A212" w14:textId="77777777" w:rsidR="000868CE" w:rsidRDefault="00000000">
            <w:r>
              <w:rPr>
                <w:sz w:val="19"/>
                <w:szCs w:val="19"/>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79B8181" w14:textId="77777777" w:rsidR="000868CE" w:rsidRDefault="00000000">
            <w:pPr>
              <w:jc w:val="center"/>
            </w:pPr>
            <w:r>
              <w:rPr>
                <w:sz w:val="19"/>
                <w:szCs w:val="19"/>
              </w:rPr>
              <w:t>1,860</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3C3FA2C" w14:textId="77777777" w:rsidR="000868CE" w:rsidRDefault="00000000">
            <w:pPr>
              <w:jc w:val="center"/>
            </w:pPr>
            <w:r>
              <w:rPr>
                <w:sz w:val="19"/>
                <w:szCs w:val="19"/>
              </w:rPr>
              <w:t>13.8%</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0612854" w14:textId="77777777" w:rsidR="000868CE" w:rsidRDefault="00000000">
            <w:pPr>
              <w:jc w:val="center"/>
            </w:pPr>
            <w:r>
              <w:rPr>
                <w:sz w:val="19"/>
                <w:szCs w:val="19"/>
              </w:rPr>
              <w:t>34%</w:t>
            </w:r>
          </w:p>
        </w:tc>
      </w:tr>
      <w:tr w:rsidR="000868CE" w14:paraId="2389C6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0C6AC" w14:textId="77777777" w:rsidR="000868CE" w:rsidRDefault="00000000">
            <w:r>
              <w:rPr>
                <w:sz w:val="19"/>
                <w:szCs w:val="19"/>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27AB1" w14:textId="77777777" w:rsidR="000868CE" w:rsidRDefault="00000000">
            <w:pPr>
              <w:jc w:val="center"/>
            </w:pPr>
            <w:r>
              <w:rPr>
                <w:sz w:val="19"/>
                <w:szCs w:val="19"/>
              </w:rPr>
              <w:t>10,632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9B9B5" w14:textId="77777777" w:rsidR="000868CE" w:rsidRDefault="00000000">
            <w:pPr>
              <w:jc w:val="center"/>
            </w:pPr>
            <w:r>
              <w:rPr>
                <w:sz w:val="19"/>
                <w:szCs w:val="19"/>
              </w:rPr>
              <w:t>78.6%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633B0" w14:textId="77777777" w:rsidR="000868CE" w:rsidRDefault="00000000">
            <w:pPr>
              <w:jc w:val="center"/>
            </w:pPr>
            <w:r>
              <w:rPr>
                <w:sz w:val="19"/>
                <w:szCs w:val="19"/>
              </w:rPr>
              <w:t>5%</w:t>
            </w:r>
          </w:p>
        </w:tc>
      </w:tr>
    </w:tbl>
    <w:p w14:paraId="77817AC8" w14:textId="77777777" w:rsidR="000868CE" w:rsidRDefault="00000000">
      <w:pPr>
        <w:pStyle w:val="Heading1"/>
        <w:pBdr>
          <w:bottom w:val="single" w:sz="6" w:space="4" w:color="2E75B6"/>
        </w:pBdr>
      </w:pPr>
      <w:r>
        <w:t>The Four Segments</w:t>
      </w:r>
    </w:p>
    <w:p w14:paraId="3D50325C" w14:textId="77777777" w:rsidR="000868CE" w:rsidRDefault="00000000">
      <w:pPr>
        <w:spacing w:before="40" w:after="100"/>
      </w:pPr>
      <w:r>
        <w:t xml:space="preserve">A risk score tells us who might leave. It does not tell us why, or what to say to them. </w:t>
      </w:r>
      <w:proofErr w:type="gramStart"/>
      <w:r>
        <w:t>So</w:t>
      </w:r>
      <w:proofErr w:type="gramEnd"/>
      <w:r>
        <w:t xml:space="preserve"> on top of the churn scores, we clustered members into four </w:t>
      </w:r>
      <w:proofErr w:type="spellStart"/>
      <w:r>
        <w:t>behavioral</w:t>
      </w:r>
      <w:proofErr w:type="spellEnd"/>
      <w:r>
        <w:t xml:space="preserv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68CE" w14:paraId="6247A54C"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8A8B5E2" w14:textId="77777777" w:rsidR="000868CE" w:rsidRDefault="00000000">
            <w:pPr>
              <w:jc w:val="center"/>
            </w:pPr>
            <w:r>
              <w:rPr>
                <w:b/>
                <w:bCs/>
                <w:color w:val="FFFFFF"/>
                <w:sz w:val="19"/>
                <w:szCs w:val="19"/>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567D5D" w14:textId="77777777" w:rsidR="000868CE" w:rsidRDefault="00000000">
            <w:pPr>
              <w:jc w:val="center"/>
            </w:pPr>
            <w:r>
              <w:rPr>
                <w:b/>
                <w:bCs/>
                <w:color w:val="FFFFFF"/>
                <w:sz w:val="19"/>
                <w:szCs w:val="19"/>
              </w:rPr>
              <w:t>Members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0141F98" w14:textId="77777777" w:rsidR="000868CE" w:rsidRDefault="00000000">
            <w:pPr>
              <w:jc w:val="center"/>
            </w:pPr>
            <w:proofErr w:type="spellStart"/>
            <w:r>
              <w:rPr>
                <w:b/>
                <w:bCs/>
                <w:color w:val="FFFFFF"/>
                <w:sz w:val="19"/>
                <w:szCs w:val="19"/>
              </w:rPr>
              <w:t>Avg</w:t>
            </w:r>
            <w:proofErr w:type="spellEnd"/>
            <w:r>
              <w:rPr>
                <w:b/>
                <w:bCs/>
                <w:color w:val="FFFFFF"/>
                <w:sz w:val="19"/>
                <w:szCs w:val="19"/>
              </w:rPr>
              <w:t xml:space="preserve"> CLV</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F0CD6A5" w14:textId="77777777" w:rsidR="000868CE" w:rsidRDefault="00000000">
            <w:pPr>
              <w:jc w:val="center"/>
            </w:pPr>
            <w:r>
              <w:rPr>
                <w:b/>
                <w:bCs/>
                <w:color w:val="FFFFFF"/>
                <w:sz w:val="19"/>
                <w:szCs w:val="19"/>
              </w:rPr>
              <w:t>Churn Rate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A935C45" w14:textId="77777777" w:rsidR="000868CE" w:rsidRDefault="00000000">
            <w:pPr>
              <w:jc w:val="center"/>
            </w:pPr>
            <w:r>
              <w:rPr>
                <w:b/>
                <w:bCs/>
                <w:color w:val="FFFFFF"/>
                <w:sz w:val="19"/>
                <w:szCs w:val="19"/>
              </w:rPr>
              <w:t>What Defines Them</w:t>
            </w:r>
          </w:p>
        </w:tc>
      </w:tr>
      <w:tr w:rsidR="000868CE" w14:paraId="35363C6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D3377" w14:textId="77777777" w:rsidR="000868CE" w:rsidRDefault="00000000">
            <w:r>
              <w:rPr>
                <w:sz w:val="19"/>
                <w:szCs w:val="19"/>
              </w:rPr>
              <w:t>New At 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C5AC9" w14:textId="77777777" w:rsidR="000868CE" w:rsidRDefault="00000000">
            <w:pPr>
              <w:jc w:val="center"/>
            </w:pPr>
            <w:r>
              <w:rPr>
                <w:sz w:val="19"/>
                <w:szCs w:val="19"/>
              </w:rPr>
              <w:t>2,939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3A2EA" w14:textId="77777777" w:rsidR="000868CE" w:rsidRDefault="00000000">
            <w:pPr>
              <w:jc w:val="center"/>
            </w:pPr>
            <w:r>
              <w:rPr>
                <w:sz w:val="19"/>
                <w:szCs w:val="19"/>
              </w:rPr>
              <w:t>$6,796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DD94D" w14:textId="77777777" w:rsidR="000868CE" w:rsidRDefault="00000000">
            <w:pPr>
              <w:jc w:val="center"/>
            </w:pPr>
            <w:r>
              <w:rPr>
                <w:sz w:val="19"/>
                <w:szCs w:val="19"/>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64733" w14:textId="77777777" w:rsidR="000868CE" w:rsidRDefault="00000000">
            <w:pPr>
              <w:jc w:val="center"/>
            </w:pPr>
            <w:r>
              <w:rPr>
                <w:sz w:val="19"/>
                <w:szCs w:val="19"/>
              </w:rPr>
              <w:t>Joined recently, barely flown since</w:t>
            </w:r>
          </w:p>
        </w:tc>
      </w:tr>
      <w:tr w:rsidR="000868CE" w14:paraId="529277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CB82331" w14:textId="77777777" w:rsidR="000868CE" w:rsidRDefault="00000000">
            <w:r>
              <w:rPr>
                <w:sz w:val="19"/>
                <w:szCs w:val="19"/>
              </w:rPr>
              <w:lastRenderedPageBreak/>
              <w:t>Dormant Members</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F2AFE98" w14:textId="77777777" w:rsidR="000868CE" w:rsidRDefault="00000000">
            <w:pPr>
              <w:jc w:val="center"/>
            </w:pPr>
            <w:r>
              <w:rPr>
                <w:sz w:val="19"/>
                <w:szCs w:val="19"/>
              </w:rPr>
              <w:t>1,499</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F75E75B" w14:textId="77777777" w:rsidR="000868CE" w:rsidRDefault="00000000">
            <w:pPr>
              <w:jc w:val="center"/>
            </w:pPr>
            <w:r>
              <w:rPr>
                <w:sz w:val="19"/>
                <w:szCs w:val="19"/>
              </w:rPr>
              <w:t>$8,457</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9397B9B" w14:textId="77777777" w:rsidR="000868CE" w:rsidRDefault="00000000">
            <w:pPr>
              <w:jc w:val="center"/>
            </w:pPr>
            <w:r>
              <w:rPr>
                <w:sz w:val="19"/>
                <w:szCs w:val="19"/>
              </w:rPr>
              <w:t>11%</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D47B25D" w14:textId="77777777" w:rsidR="000868CE" w:rsidRDefault="00000000">
            <w:pPr>
              <w:jc w:val="center"/>
            </w:pPr>
            <w:r>
              <w:rPr>
                <w:sz w:val="19"/>
                <w:szCs w:val="19"/>
              </w:rPr>
              <w:t>Used to fly, gone quiet for almost a year</w:t>
            </w:r>
          </w:p>
        </w:tc>
      </w:tr>
      <w:tr w:rsidR="000868CE" w14:paraId="51549AB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D2C33" w14:textId="77777777" w:rsidR="000868CE" w:rsidRDefault="00000000">
            <w:r>
              <w:rPr>
                <w:sz w:val="19"/>
                <w:szCs w:val="19"/>
              </w:rPr>
              <w:t xml:space="preserve">High Value </w:t>
            </w:r>
            <w:proofErr w:type="spellStart"/>
            <w:r>
              <w:rPr>
                <w:sz w:val="19"/>
                <w:szCs w:val="19"/>
              </w:rPr>
              <w:t>Vulnerables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58DED" w14:textId="77777777" w:rsidR="000868CE" w:rsidRDefault="00000000">
            <w:pPr>
              <w:jc w:val="center"/>
            </w:pPr>
            <w:r>
              <w:rPr>
                <w:sz w:val="19"/>
                <w:szCs w:val="19"/>
              </w:rPr>
              <w:t>2,952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27811" w14:textId="77777777" w:rsidR="000868CE" w:rsidRDefault="00000000">
            <w:pPr>
              <w:jc w:val="center"/>
            </w:pPr>
            <w:r>
              <w:rPr>
                <w:sz w:val="19"/>
                <w:szCs w:val="19"/>
              </w:rPr>
              <w:t>$13,699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4FC25" w14:textId="77777777" w:rsidR="000868CE" w:rsidRDefault="00000000">
            <w:pPr>
              <w:jc w:val="center"/>
            </w:pPr>
            <w:r>
              <w:rPr>
                <w:sz w:val="19"/>
                <w:szCs w:val="19"/>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9D45B" w14:textId="77777777" w:rsidR="000868CE" w:rsidRDefault="00000000">
            <w:pPr>
              <w:jc w:val="center"/>
            </w:pPr>
            <w:r>
              <w:rPr>
                <w:sz w:val="19"/>
                <w:szCs w:val="19"/>
              </w:rPr>
              <w:t>Big spenders, but engagement is slipping</w:t>
            </w:r>
          </w:p>
        </w:tc>
      </w:tr>
      <w:tr w:rsidR="000868CE" w14:paraId="644373F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5C17C9C" w14:textId="77777777" w:rsidR="000868CE" w:rsidRDefault="00000000">
            <w:r>
              <w:rPr>
                <w:sz w:val="19"/>
                <w:szCs w:val="19"/>
              </w:rPr>
              <w:t>Stable Regulars</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AD643BD" w14:textId="77777777" w:rsidR="000868CE" w:rsidRDefault="00000000">
            <w:pPr>
              <w:jc w:val="center"/>
            </w:pPr>
            <w:r>
              <w:rPr>
                <w:sz w:val="19"/>
                <w:szCs w:val="19"/>
              </w:rPr>
              <w:t>6,130</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8F1860B" w14:textId="77777777" w:rsidR="000868CE" w:rsidRDefault="00000000">
            <w:pPr>
              <w:jc w:val="center"/>
            </w:pPr>
            <w:r>
              <w:rPr>
                <w:sz w:val="19"/>
                <w:szCs w:val="19"/>
              </w:rPr>
              <w:t>$5,671</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4B052C7" w14:textId="77777777" w:rsidR="000868CE" w:rsidRDefault="00000000">
            <w:pPr>
              <w:jc w:val="center"/>
            </w:pPr>
            <w:r>
              <w:rPr>
                <w:sz w:val="19"/>
                <w:szCs w:val="19"/>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B645CA8" w14:textId="77777777" w:rsidR="000868CE" w:rsidRDefault="00000000">
            <w:pPr>
              <w:jc w:val="center"/>
            </w:pPr>
            <w:r>
              <w:rPr>
                <w:sz w:val="19"/>
                <w:szCs w:val="19"/>
              </w:rPr>
              <w:t>Long tenure, consistent flyers</w:t>
            </w:r>
          </w:p>
        </w:tc>
      </w:tr>
    </w:tbl>
    <w:p w14:paraId="0AC5C4BF" w14:textId="77777777" w:rsidR="000868CE" w:rsidRDefault="000868CE"/>
    <w:p w14:paraId="60199552" w14:textId="77777777" w:rsidR="000868CE" w:rsidRDefault="00000000">
      <w:pPr>
        <w:pStyle w:val="Heading2"/>
      </w:pPr>
      <w:r>
        <w:t>New At Risk</w:t>
      </w:r>
    </w:p>
    <w:p w14:paraId="508264FF" w14:textId="77777777" w:rsidR="000868CE" w:rsidRDefault="00000000">
      <w:pPr>
        <w:spacing w:before="40" w:after="100"/>
      </w:pPr>
      <w:r>
        <w:t>These 2,939 members joined an average of just over a year ago and have not really gotten into the habit of flying with us. Almost 30% of them are flagged as medium or high risk, and their actual churn rate of 15% is more than double the program average. The honest read here is that many of these people signed up, perhaps for a promotion, took a flight or two, and then drifted. They have not had enough good experiences with the program to feel any pull to stay, so there is very little holding them back if a competitor offers something cheaper.</w:t>
      </w:r>
    </w:p>
    <w:p w14:paraId="35696E4B" w14:textId="77777777" w:rsidR="000868CE" w:rsidRDefault="00000000">
      <w:pPr>
        <w:spacing w:before="40" w:after="100"/>
      </w:pPr>
      <w:r>
        <w:t>There is a silver lining though. Because these members are new, the cost of building a habit early is much lower than the cost of trying to win someone back after years of disengagement. A small nudge now, while they are still forming their impression of the program, can have an outsized effect on whether they stick around for the next five years.</w:t>
      </w:r>
    </w:p>
    <w:p w14:paraId="28B8FD0D" w14:textId="77777777" w:rsidR="000868CE" w:rsidRDefault="00000000">
      <w:pPr>
        <w:pStyle w:val="Heading2"/>
      </w:pPr>
      <w:r>
        <w:t>Dormant Members</w:t>
      </w:r>
    </w:p>
    <w:p w14:paraId="5BD0B257" w14:textId="77777777" w:rsidR="000868CE" w:rsidRDefault="00000000">
      <w:pPr>
        <w:spacing w:before="40" w:after="100"/>
      </w:pPr>
      <w:r>
        <w:t>This is a different kind of problem. These 1,499 members were previously engaged but have gone almost entirely quiet, averaging fewer than one flight in all of 2017 and nearly a year since their last trip. Their lifetime value of $8,457 is actually higher than our most loyal segment, which tells us this is residual value from past activity, not a sign these people were never good customers. The encouraging part is that they already know us. They did not leave because they disliked the program. Something else pulled their travel elsewhere, and the right offer at the right moment could bring some of them back.</w:t>
      </w:r>
    </w:p>
    <w:p w14:paraId="70568C8B" w14:textId="77777777" w:rsidR="000868CE" w:rsidRDefault="00000000">
      <w:pPr>
        <w:pStyle w:val="Heading2"/>
      </w:pPr>
      <w:r>
        <w:t xml:space="preserve">High Value </w:t>
      </w:r>
      <w:proofErr w:type="spellStart"/>
      <w:r>
        <w:t>Vulnerables</w:t>
      </w:r>
      <w:proofErr w:type="spellEnd"/>
    </w:p>
    <w:p w14:paraId="435AA1A3" w14:textId="77777777" w:rsidR="000868CE" w:rsidRDefault="00000000">
      <w:pPr>
        <w:spacing w:before="40" w:after="100"/>
      </w:pPr>
      <w:r>
        <w:t>This group of 2,952 members is where the financial stakes are highest. Their average lifetime value of $13,699 is well above the overall average, and the 31 members in this group who are currently flagged high risk represent over $440,000 in lifetime value on their own. What makes this group tricky is that, on the surface, many of them still look fine. They are flying. But their redemption ratios tend to be low, meaning they earn points and never use them, which often means the program has become background noise rather than something they actually value. That quiet disengagement shows up in the model before it shows up in their flight numbers.</w:t>
      </w:r>
    </w:p>
    <w:p w14:paraId="06F7CED9" w14:textId="77777777" w:rsidR="000868CE" w:rsidRDefault="00000000">
      <w:pPr>
        <w:spacing w:before="40" w:after="100"/>
      </w:pPr>
      <w:r>
        <w:t xml:space="preserve">It is worth being clear about what this segment is not. These are not members complaining or filing tickets. There is no obvious flag in a customer service system. The risk is visible only when you look at the trend in their </w:t>
      </w:r>
      <w:proofErr w:type="spellStart"/>
      <w:r>
        <w:t>behavior</w:t>
      </w:r>
      <w:proofErr w:type="spellEnd"/>
      <w:r>
        <w:t xml:space="preserve"> over time, which is exactly the kind of pattern a model is good at catching and a person scanning a spreadsheet is not.</w:t>
      </w:r>
    </w:p>
    <w:p w14:paraId="6BC70C22" w14:textId="77777777" w:rsidR="000868CE" w:rsidRDefault="00000000">
      <w:pPr>
        <w:pStyle w:val="Heading2"/>
      </w:pPr>
      <w:r>
        <w:t>Stable Regulars</w:t>
      </w:r>
    </w:p>
    <w:p w14:paraId="4E29621F" w14:textId="77777777" w:rsidR="000868CE" w:rsidRDefault="00000000">
      <w:pPr>
        <w:spacing w:before="40" w:after="100"/>
      </w:pPr>
      <w:r>
        <w:t>At 6,130 members, this is our largest and steadiest group, with a churn rate of just 4%. They are not where the urgent risk is. They are where the growth is. A modest nudge, like a challenge to fly three more times this quarter to unlock the next card tier, could turn already loyal customers into even more valuable ones.</w:t>
      </w:r>
    </w:p>
    <w:p w14:paraId="24A61D26" w14:textId="77777777" w:rsidR="000868CE" w:rsidRDefault="00000000">
      <w:pPr>
        <w:pStyle w:val="Heading1"/>
        <w:pBdr>
          <w:bottom w:val="single" w:sz="6" w:space="4" w:color="2E75B6"/>
        </w:pBdr>
      </w:pPr>
      <w:r>
        <w:lastRenderedPageBreak/>
        <w:t>What Stood Out to Us</w:t>
      </w:r>
    </w:p>
    <w:p w14:paraId="13B90523" w14:textId="77777777" w:rsidR="000868CE" w:rsidRDefault="00000000">
      <w:pPr>
        <w:pStyle w:val="Heading2"/>
      </w:pPr>
      <w:r>
        <w:t>The risk is concentrated, not spread out</w:t>
      </w:r>
    </w:p>
    <w:p w14:paraId="3C06CA62" w14:textId="77777777" w:rsidR="000868CE" w:rsidRDefault="00000000">
      <w:pPr>
        <w:spacing w:before="40" w:after="100"/>
      </w:pPr>
      <w:r>
        <w:t xml:space="preserve">That 7% churn figure looks fine until you split it apart. Two segments, New </w:t>
      </w:r>
      <w:proofErr w:type="gramStart"/>
      <w:r>
        <w:t>At</w:t>
      </w:r>
      <w:proofErr w:type="gramEnd"/>
      <w:r>
        <w:t xml:space="preserve"> Risk and Dormant Members, are churning at 11 to 15%, while the other two sit at just 4%. A single campaign sent to everyone wastes most of its budget on the 10,000 plus members who were never going to leave anyway, while under serving the roughly 4,400 who actually need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8CE" w14:paraId="34CE6719" w14:textId="77777777">
        <w:tblPrEx>
          <w:tblCellMar>
            <w:top w:w="0" w:type="dxa"/>
            <w:bottom w:w="0" w:type="dxa"/>
          </w:tblCellMar>
        </w:tblPrEx>
        <w:tc>
          <w:tcPr>
            <w:tcW w:w="9360" w:type="dxa"/>
            <w:shd w:val="clear" w:color="auto" w:fill="F2F7FC"/>
            <w:tcMar>
              <w:top w:w="100" w:type="dxa"/>
              <w:left w:w="180" w:type="dxa"/>
              <w:bottom w:w="100" w:type="dxa"/>
              <w:right w:w="180" w:type="dxa"/>
            </w:tcMar>
          </w:tcPr>
          <w:p w14:paraId="6B8EF40E" w14:textId="77777777" w:rsidR="000868CE" w:rsidRDefault="00000000">
            <w:pPr>
              <w:spacing w:before="20" w:after="40"/>
            </w:pPr>
            <w:r>
              <w:rPr>
                <w:b/>
                <w:bCs/>
                <w:color w:val="1F4E79"/>
              </w:rPr>
              <w:t>Why this matters financially</w:t>
            </w:r>
          </w:p>
          <w:p w14:paraId="6635B0D9" w14:textId="77777777" w:rsidR="000868CE" w:rsidRDefault="00000000">
            <w:pPr>
              <w:spacing w:before="20" w:after="20"/>
            </w:pPr>
            <w:r>
              <w:t>There are 1,028 members currently flagged high risk. If a targeted campaign saved even 40% of them, a realistic number for personalized outreach, that is over 400 members retained. At the average lifetime value across the program, that is upward of $3 million in preserved value, against a campaign that would cost a small fraction of that to run.</w:t>
            </w:r>
          </w:p>
        </w:tc>
      </w:tr>
    </w:tbl>
    <w:p w14:paraId="6D5603FE" w14:textId="77777777" w:rsidR="000868CE" w:rsidRDefault="00000000">
      <w:pPr>
        <w:pStyle w:val="Heading2"/>
      </w:pPr>
      <w:r>
        <w:t>How recently someone flew matters more than how often</w:t>
      </w:r>
    </w:p>
    <w:p w14:paraId="17E42648" w14:textId="77777777" w:rsidR="000868CE" w:rsidRDefault="00000000">
      <w:pPr>
        <w:spacing w:before="40" w:after="100"/>
      </w:pPr>
      <w:r>
        <w:t xml:space="preserve">Across everything we tested, the single most consistent predictor of churn was not total flights or even lifetime spend. It was how long since the member's last trip. Someone with 40 flights under their belt but nothing in the last 10 months is riskier than someone with only 15 flights who flew last month. Past loyalty does not guarantee future </w:t>
      </w:r>
      <w:proofErr w:type="spellStart"/>
      <w:r>
        <w:t>behavior</w:t>
      </w:r>
      <w:proofErr w:type="spellEnd"/>
      <w:r>
        <w:t>. What matters is whether someone is engaged right now. The practical takeaway is that automated triggers, an outreach that fires the moment someone crosses 60 or 90 days without flying, will outperform a quarterly newsletter sent to everyone on the same schedule.</w:t>
      </w:r>
    </w:p>
    <w:p w14:paraId="269D4723" w14:textId="77777777" w:rsidR="000868CE" w:rsidRDefault="00000000">
      <w:pPr>
        <w:pStyle w:val="Heading2"/>
      </w:pPr>
      <w:r>
        <w:t>Big spenders are not automatically safe</w:t>
      </w:r>
    </w:p>
    <w:p w14:paraId="7ABEDF48" w14:textId="77777777" w:rsidR="000868CE" w:rsidRDefault="00000000">
      <w:pPr>
        <w:spacing w:before="40" w:after="100"/>
      </w:pPr>
      <w:r>
        <w:t xml:space="preserve">It is tempting to assume our highest value customers are also our most loyal. The data does not fully support that. The High Value </w:t>
      </w:r>
      <w:proofErr w:type="spellStart"/>
      <w:r>
        <w:t>Vulnerables</w:t>
      </w:r>
      <w:proofErr w:type="spellEnd"/>
      <w:r>
        <w:t xml:space="preserve"> segment has the highest average spend in the program, yet a meaningful share of them </w:t>
      </w:r>
      <w:proofErr w:type="gramStart"/>
      <w:r>
        <w:t>carry</w:t>
      </w:r>
      <w:proofErr w:type="gramEnd"/>
      <w:r>
        <w:t xml:space="preserve"> elevated churn risk. The likely explanation is a gap between earning and using points: members who accumulate rewards but never redeem them have not had a tangible moment where the program felt worth it to them. Members who have actually used their points for something, an upgrade, a free flight, a lounge visit, churn far less, because they have felt the value directly.</w:t>
      </w:r>
    </w:p>
    <w:p w14:paraId="0788B7A2" w14:textId="77777777" w:rsidR="000868CE" w:rsidRDefault="00000000">
      <w:pPr>
        <w:pStyle w:val="Heading2"/>
      </w:pPr>
      <w:r>
        <w:t>The same model can drive day to day decisions, not just strategy</w:t>
      </w:r>
    </w:p>
    <w:p w14:paraId="22F979AD" w14:textId="77777777" w:rsidR="000868CE" w:rsidRDefault="00000000">
      <w:pPr>
        <w:spacing w:before="40" w:after="100"/>
      </w:pPr>
      <w:r>
        <w:t>One thing that became clear while building this is that the risk scores are useful well beyond a single report. Every member now carries a churn probability, a segment label, and a recommended next action, all of which update automatically as new flight data comes in. That means a retention team member looking up any individual member gets an immediate read on whether to worry about them and what to do, without needing to wait for the next quarterly review. We built a simple dashboard on top of this that does exactly that, described briefly in the final section.</w:t>
      </w:r>
    </w:p>
    <w:p w14:paraId="57BDA1AF" w14:textId="77777777" w:rsidR="000868CE" w:rsidRDefault="00000000">
      <w:pPr>
        <w:pStyle w:val="Heading1"/>
        <w:pBdr>
          <w:bottom w:val="single" w:sz="6" w:space="4" w:color="2E75B6"/>
        </w:pBdr>
      </w:pPr>
      <w:r>
        <w:t>Three Recommendations</w:t>
      </w:r>
    </w:p>
    <w:p w14:paraId="20F0AD7D" w14:textId="77777777" w:rsidR="000868CE" w:rsidRDefault="00000000">
      <w:pPr>
        <w:spacing w:before="40" w:after="100"/>
      </w:pPr>
      <w:r>
        <w:t>These are written for the CFO and CMO to act on together. Each one addresses a different kind of risk and can realistically start within the next quarter using tools that already exist.</w:t>
      </w:r>
    </w:p>
    <w:p w14:paraId="4C3C5200" w14:textId="77777777" w:rsidR="000868CE" w:rsidRDefault="000868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0868CE" w14:paraId="3CFED244" w14:textId="77777777">
        <w:tblPrEx>
          <w:tblCellMar>
            <w:top w:w="0" w:type="dxa"/>
            <w:bottom w:w="0" w:type="dxa"/>
          </w:tblCellMar>
        </w:tblPrEx>
        <w:tc>
          <w:tcPr>
            <w:tcW w:w="140" w:type="dxa"/>
            <w:shd w:val="clear" w:color="auto" w:fill="C00000"/>
            <w:tcMar>
              <w:top w:w="100" w:type="dxa"/>
              <w:left w:w="0" w:type="dxa"/>
              <w:bottom w:w="100" w:type="dxa"/>
              <w:right w:w="0" w:type="dxa"/>
            </w:tcMar>
          </w:tcPr>
          <w:p w14:paraId="4122AFAE" w14:textId="77777777" w:rsidR="000868CE" w:rsidRDefault="000868CE"/>
        </w:tc>
        <w:tc>
          <w:tcPr>
            <w:tcW w:w="9220" w:type="dxa"/>
            <w:shd w:val="clear" w:color="auto" w:fill="F2F7FC"/>
            <w:tcMar>
              <w:top w:w="100" w:type="dxa"/>
              <w:left w:w="180" w:type="dxa"/>
              <w:bottom w:w="100" w:type="dxa"/>
              <w:right w:w="180" w:type="dxa"/>
            </w:tcMar>
          </w:tcPr>
          <w:p w14:paraId="6ABA6C57" w14:textId="77777777" w:rsidR="000868CE" w:rsidRDefault="00000000">
            <w:pPr>
              <w:spacing w:after="40"/>
            </w:pPr>
            <w:r>
              <w:rPr>
                <w:b/>
                <w:bCs/>
                <w:color w:val="C00000"/>
                <w:sz w:val="23"/>
                <w:szCs w:val="23"/>
              </w:rPr>
              <w:t xml:space="preserve">Recommendation 1: </w:t>
            </w:r>
            <w:r>
              <w:rPr>
                <w:b/>
                <w:bCs/>
                <w:sz w:val="23"/>
                <w:szCs w:val="23"/>
              </w:rPr>
              <w:t xml:space="preserve">Run a </w:t>
            </w:r>
            <w:proofErr w:type="gramStart"/>
            <w:r>
              <w:rPr>
                <w:b/>
                <w:bCs/>
                <w:sz w:val="23"/>
                <w:szCs w:val="23"/>
              </w:rPr>
              <w:t>two track</w:t>
            </w:r>
            <w:proofErr w:type="gramEnd"/>
            <w:r>
              <w:rPr>
                <w:b/>
                <w:bCs/>
                <w:sz w:val="23"/>
                <w:szCs w:val="23"/>
              </w:rPr>
              <w:t xml:space="preserve"> win back campaign for New </w:t>
            </w:r>
            <w:proofErr w:type="gramStart"/>
            <w:r>
              <w:rPr>
                <w:b/>
                <w:bCs/>
                <w:sz w:val="23"/>
                <w:szCs w:val="23"/>
              </w:rPr>
              <w:t>At</w:t>
            </w:r>
            <w:proofErr w:type="gramEnd"/>
            <w:r>
              <w:rPr>
                <w:b/>
                <w:bCs/>
                <w:sz w:val="23"/>
                <w:szCs w:val="23"/>
              </w:rPr>
              <w:t xml:space="preserve"> Risk and Dormant members</w:t>
            </w:r>
          </w:p>
          <w:p w14:paraId="0CDB4669" w14:textId="77777777" w:rsidR="000868CE" w:rsidRDefault="00000000">
            <w:pPr>
              <w:spacing w:after="40"/>
            </w:pPr>
            <w:r>
              <w:rPr>
                <w:b/>
                <w:bCs/>
                <w:color w:val="666666"/>
                <w:sz w:val="19"/>
                <w:szCs w:val="19"/>
              </w:rPr>
              <w:t xml:space="preserve">For: </w:t>
            </w:r>
            <w:r>
              <w:rPr>
                <w:i/>
                <w:iCs/>
                <w:color w:val="666666"/>
                <w:sz w:val="19"/>
                <w:szCs w:val="19"/>
              </w:rPr>
              <w:t>CMO to design and run it, CFO to approve the budget</w:t>
            </w:r>
          </w:p>
          <w:p w14:paraId="5328E6D6" w14:textId="77777777" w:rsidR="000868CE" w:rsidRDefault="00000000">
            <w:pPr>
              <w:spacing w:after="60"/>
            </w:pPr>
            <w:r>
              <w:t xml:space="preserve">Together these two segments add up to 4,438 members and account for most of the program's elevated churn. They need different messages though. New </w:t>
            </w:r>
            <w:proofErr w:type="gramStart"/>
            <w:r>
              <w:t>At Risk</w:t>
            </w:r>
            <w:proofErr w:type="gramEnd"/>
            <w:r>
              <w:t xml:space="preserve"> members have not yet formed a habit, so a 2x points offer on their next flight gives them a reason to try again. </w:t>
            </w:r>
            <w:r>
              <w:lastRenderedPageBreak/>
              <w:t xml:space="preserve">Dormant members already know the program, so a personalized fare discount on routes they used to fly </w:t>
            </w:r>
            <w:proofErr w:type="gramStart"/>
            <w:r>
              <w:t>is</w:t>
            </w:r>
            <w:proofErr w:type="gramEnd"/>
            <w:r>
              <w:t xml:space="preserve"> more likely to bring them back than a generic offer.</w:t>
            </w:r>
          </w:p>
          <w:p w14:paraId="632C7E86" w14:textId="77777777" w:rsidR="000868CE" w:rsidRDefault="00000000">
            <w:r>
              <w:rPr>
                <w:b/>
                <w:bCs/>
                <w:color w:val="C00000"/>
              </w:rPr>
              <w:t xml:space="preserve">Action: </w:t>
            </w:r>
            <w:r>
              <w:t>Greenlight outreach to roughly 4,400 members with separate creative for each group. Track 90 day re engagement as the main success measure, using the existing risk scores as the starting point.</w:t>
            </w:r>
          </w:p>
        </w:tc>
      </w:tr>
    </w:tbl>
    <w:p w14:paraId="16D550A6" w14:textId="77777777" w:rsidR="000868CE" w:rsidRDefault="000868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0868CE" w14:paraId="6B5C11A8" w14:textId="77777777">
        <w:tblPrEx>
          <w:tblCellMar>
            <w:top w:w="0" w:type="dxa"/>
            <w:bottom w:w="0" w:type="dxa"/>
          </w:tblCellMar>
        </w:tblPrEx>
        <w:tc>
          <w:tcPr>
            <w:tcW w:w="140" w:type="dxa"/>
            <w:shd w:val="clear" w:color="auto" w:fill="E07B00"/>
            <w:tcMar>
              <w:top w:w="100" w:type="dxa"/>
              <w:left w:w="0" w:type="dxa"/>
              <w:bottom w:w="100" w:type="dxa"/>
              <w:right w:w="0" w:type="dxa"/>
            </w:tcMar>
          </w:tcPr>
          <w:p w14:paraId="1083B0E5" w14:textId="77777777" w:rsidR="000868CE" w:rsidRDefault="000868CE"/>
        </w:tc>
        <w:tc>
          <w:tcPr>
            <w:tcW w:w="9220" w:type="dxa"/>
            <w:shd w:val="clear" w:color="auto" w:fill="F2F7FC"/>
            <w:tcMar>
              <w:top w:w="100" w:type="dxa"/>
              <w:left w:w="180" w:type="dxa"/>
              <w:bottom w:w="100" w:type="dxa"/>
              <w:right w:w="180" w:type="dxa"/>
            </w:tcMar>
          </w:tcPr>
          <w:p w14:paraId="27260AB3" w14:textId="77777777" w:rsidR="000868CE" w:rsidRDefault="00000000">
            <w:pPr>
              <w:spacing w:after="40"/>
            </w:pPr>
            <w:r>
              <w:rPr>
                <w:b/>
                <w:bCs/>
                <w:color w:val="E07B00"/>
                <w:sz w:val="23"/>
                <w:szCs w:val="23"/>
              </w:rPr>
              <w:t xml:space="preserve">Recommendation 2: </w:t>
            </w:r>
            <w:r>
              <w:rPr>
                <w:b/>
                <w:bCs/>
                <w:sz w:val="23"/>
                <w:szCs w:val="23"/>
              </w:rPr>
              <w:t>Give High Value Vulnerable members a human touch before they drift further</w:t>
            </w:r>
          </w:p>
          <w:p w14:paraId="79752FC5" w14:textId="77777777" w:rsidR="000868CE" w:rsidRDefault="00000000">
            <w:pPr>
              <w:spacing w:after="40"/>
            </w:pPr>
            <w:r>
              <w:rPr>
                <w:b/>
                <w:bCs/>
                <w:color w:val="666666"/>
                <w:sz w:val="19"/>
                <w:szCs w:val="19"/>
              </w:rPr>
              <w:t xml:space="preserve">For: </w:t>
            </w:r>
            <w:r>
              <w:rPr>
                <w:i/>
                <w:iCs/>
                <w:color w:val="666666"/>
                <w:sz w:val="19"/>
                <w:szCs w:val="19"/>
              </w:rPr>
              <w:t>CMO for the customer experience piece, CFO for the revenue protection angle</w:t>
            </w:r>
          </w:p>
          <w:p w14:paraId="1FB681FE" w14:textId="77777777" w:rsidR="000868CE" w:rsidRDefault="00000000">
            <w:pPr>
              <w:spacing w:after="60"/>
            </w:pPr>
            <w:r>
              <w:t xml:space="preserve">These 2,952 members carry roughly $40 million in combined lifetime value, and the 31 currently flagged high risk alone represent over $440,000. A mass email to this group would likely do more harm than good, since it </w:t>
            </w:r>
            <w:proofErr w:type="gramStart"/>
            <w:r>
              <w:t>signals</w:t>
            </w:r>
            <w:proofErr w:type="gramEnd"/>
            <w:r>
              <w:t xml:space="preserve"> they are just another name on a list. A short call or personal note from a named account manager, paired with something tangible like an upgrade voucher or a points bonus on routes they actually fly, costs very little against what is at stake.</w:t>
            </w:r>
          </w:p>
          <w:p w14:paraId="37A5B6A1" w14:textId="77777777" w:rsidR="000868CE" w:rsidRDefault="00000000">
            <w:r>
              <w:rPr>
                <w:b/>
                <w:bCs/>
                <w:color w:val="E07B00"/>
              </w:rPr>
              <w:t xml:space="preserve">Action: </w:t>
            </w:r>
            <w:r>
              <w:t>Assign each of the 31 high risk members to a named account manager within a week, then extend the same approach to the 178 medium risk members in this group over the following two weeks. Measure success by offer redemption and whether they book another flight.</w:t>
            </w:r>
          </w:p>
        </w:tc>
      </w:tr>
    </w:tbl>
    <w:p w14:paraId="461E4BB3" w14:textId="77777777" w:rsidR="000868CE" w:rsidRDefault="000868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0868CE" w14:paraId="61F33D0C" w14:textId="77777777">
        <w:tblPrEx>
          <w:tblCellMar>
            <w:top w:w="0" w:type="dxa"/>
            <w:bottom w:w="0" w:type="dxa"/>
          </w:tblCellMar>
        </w:tblPrEx>
        <w:tc>
          <w:tcPr>
            <w:tcW w:w="140" w:type="dxa"/>
            <w:shd w:val="clear" w:color="auto" w:fill="375623"/>
            <w:tcMar>
              <w:top w:w="100" w:type="dxa"/>
              <w:left w:w="0" w:type="dxa"/>
              <w:bottom w:w="100" w:type="dxa"/>
              <w:right w:w="0" w:type="dxa"/>
            </w:tcMar>
          </w:tcPr>
          <w:p w14:paraId="134ADAA3" w14:textId="77777777" w:rsidR="000868CE" w:rsidRDefault="000868CE"/>
        </w:tc>
        <w:tc>
          <w:tcPr>
            <w:tcW w:w="9220" w:type="dxa"/>
            <w:shd w:val="clear" w:color="auto" w:fill="F2F7FC"/>
            <w:tcMar>
              <w:top w:w="100" w:type="dxa"/>
              <w:left w:w="180" w:type="dxa"/>
              <w:bottom w:w="100" w:type="dxa"/>
              <w:right w:w="180" w:type="dxa"/>
            </w:tcMar>
          </w:tcPr>
          <w:p w14:paraId="39B25311" w14:textId="77777777" w:rsidR="000868CE" w:rsidRDefault="00000000">
            <w:pPr>
              <w:spacing w:after="40"/>
            </w:pPr>
            <w:r>
              <w:rPr>
                <w:b/>
                <w:bCs/>
                <w:color w:val="375623"/>
                <w:sz w:val="23"/>
                <w:szCs w:val="23"/>
              </w:rPr>
              <w:t xml:space="preserve">Recommendation 3: </w:t>
            </w:r>
            <w:r>
              <w:rPr>
                <w:b/>
                <w:bCs/>
                <w:sz w:val="23"/>
                <w:szCs w:val="23"/>
              </w:rPr>
              <w:t xml:space="preserve">Move from </w:t>
            </w:r>
            <w:proofErr w:type="gramStart"/>
            <w:r>
              <w:rPr>
                <w:b/>
                <w:bCs/>
                <w:sz w:val="23"/>
                <w:szCs w:val="23"/>
              </w:rPr>
              <w:t>calendar based</w:t>
            </w:r>
            <w:proofErr w:type="gramEnd"/>
            <w:r>
              <w:rPr>
                <w:b/>
                <w:bCs/>
                <w:sz w:val="23"/>
                <w:szCs w:val="23"/>
              </w:rPr>
              <w:t xml:space="preserve"> campaigns to activity triggers across the board</w:t>
            </w:r>
          </w:p>
          <w:p w14:paraId="09298154" w14:textId="77777777" w:rsidR="000868CE" w:rsidRDefault="00000000">
            <w:pPr>
              <w:spacing w:after="40"/>
            </w:pPr>
            <w:r>
              <w:rPr>
                <w:b/>
                <w:bCs/>
                <w:color w:val="666666"/>
                <w:sz w:val="19"/>
                <w:szCs w:val="19"/>
              </w:rPr>
              <w:t xml:space="preserve">For: </w:t>
            </w:r>
            <w:r>
              <w:rPr>
                <w:i/>
                <w:iCs/>
                <w:color w:val="666666"/>
                <w:sz w:val="19"/>
                <w:szCs w:val="19"/>
              </w:rPr>
              <w:t>CFO for the efficiency case, CMO for the CRM rollout</w:t>
            </w:r>
          </w:p>
          <w:p w14:paraId="1853384D" w14:textId="77777777" w:rsidR="000868CE" w:rsidRDefault="00000000">
            <w:pPr>
              <w:spacing w:after="60"/>
            </w:pPr>
            <w:r>
              <w:t>Since recency is the strongest signal we found, the most efficient use of retention budget is not a quarterly blast to everyone, but an automatic message that fires when a member crosses a set period of inactivity, say 60 days for newer members and 90 days for longer tenured ones. This catches people while they are still reachable rather than after they have mentally checked out, and once it is set up it runs on its own for every member going forward, not just the ones in this analysis.</w:t>
            </w:r>
          </w:p>
          <w:p w14:paraId="4BA3B212" w14:textId="77777777" w:rsidR="000868CE" w:rsidRDefault="00000000">
            <w:r>
              <w:rPr>
                <w:b/>
                <w:bCs/>
                <w:color w:val="375623"/>
              </w:rPr>
              <w:t xml:space="preserve">Action: </w:t>
            </w:r>
            <w:r>
              <w:t xml:space="preserve">Have the CRM team set up </w:t>
            </w:r>
            <w:proofErr w:type="gramStart"/>
            <w:r>
              <w:t>60 and 90 day</w:t>
            </w:r>
            <w:proofErr w:type="gramEnd"/>
            <w:r>
              <w:t xml:space="preserve"> inactivity triggers with messaging tailored to each segment. Compare flights booked and churn rate six months out against the old </w:t>
            </w:r>
            <w:proofErr w:type="gramStart"/>
            <w:r>
              <w:t>calendar based</w:t>
            </w:r>
            <w:proofErr w:type="gramEnd"/>
            <w:r>
              <w:t xml:space="preserve"> approach.</w:t>
            </w:r>
          </w:p>
        </w:tc>
      </w:tr>
    </w:tbl>
    <w:p w14:paraId="4B79CD66" w14:textId="77777777" w:rsidR="000868CE" w:rsidRDefault="000868CE"/>
    <w:p w14:paraId="1AC9AC4E" w14:textId="77777777" w:rsidR="000868CE" w:rsidRDefault="00000000">
      <w:pPr>
        <w:pStyle w:val="Heading1"/>
        <w:pBdr>
          <w:bottom w:val="single" w:sz="6" w:space="4" w:color="2E75B6"/>
        </w:pBdr>
      </w:pPr>
      <w:r>
        <w:t>A Final Word</w:t>
      </w:r>
    </w:p>
    <w:p w14:paraId="45E3F58A" w14:textId="77777777" w:rsidR="000868CE" w:rsidRDefault="00000000">
      <w:pPr>
        <w:spacing w:before="40" w:after="100"/>
      </w:pPr>
      <w:r>
        <w:t xml:space="preserve">This model was built on 2017 data and should be refreshed at least once a year, or sooner if something major changes, like a card tier overhaul or a big shift in routes. The dashboard we built alongside this analysis lets </w:t>
      </w:r>
      <w:proofErr w:type="spellStart"/>
      <w:r>
        <w:t>non technical</w:t>
      </w:r>
      <w:proofErr w:type="spellEnd"/>
      <w:r>
        <w:t xml:space="preserve"> teams act on these scores directly. One view lets a </w:t>
      </w:r>
      <w:proofErr w:type="gramStart"/>
      <w:r>
        <w:t>team filter members</w:t>
      </w:r>
      <w:proofErr w:type="gramEnd"/>
      <w:r>
        <w:t xml:space="preserve"> by risk level, segment, and lifetime value, and export a list ready for a CRM upload. Another view lets anyone look up a single member by their loyalty number and see their full profile, including a seasonal breakdown of when they tend to fly and the specific action recommended for them.</w:t>
      </w:r>
    </w:p>
    <w:p w14:paraId="554F9ABB" w14:textId="77777777" w:rsidR="000868CE" w:rsidRDefault="00000000">
      <w:pPr>
        <w:spacing w:before="40" w:after="100"/>
      </w:pPr>
      <w:r>
        <w:t>No model gets everything right. An AUC of 0.74 means roughly a quarter of predictions will miss in one direction or another, either flagging someone who was never going to leave, or missing someone who does. The first kind of mistake is low cost, since an offer to someone who was staying anyway rarely backfires. The second is partly covered by the activity triggers in recommendation three, which catch people the model score alone might underrate.</w:t>
      </w:r>
    </w:p>
    <w:p w14:paraId="69EFCB7A" w14:textId="77777777" w:rsidR="000868CE" w:rsidRDefault="00000000">
      <w:pPr>
        <w:spacing w:before="40" w:after="100"/>
      </w:pPr>
      <w:r>
        <w:t xml:space="preserve">Put together, the pieces here, the model, the segments, and the dashboard, give the business what it needs to move from reacting after someone leaves to acting while they can still be kept. What is left is </w:t>
      </w:r>
      <w:r>
        <w:lastRenderedPageBreak/>
        <w:t>mostly organizational: deciding who owns each segment's playbook and checking in on the right metrics at the right times.</w:t>
      </w:r>
    </w:p>
    <w:p w14:paraId="2F5DF577" w14:textId="77777777" w:rsidR="000868CE" w:rsidRDefault="00000000">
      <w:pPr>
        <w:spacing w:before="40" w:after="100"/>
      </w:pPr>
      <w:r>
        <w:rPr>
          <w:i/>
          <w:iCs/>
        </w:rPr>
        <w:t xml:space="preserve">We are happy to walk through any part of this in more detail, or run additional scenarios, for example, what the revenue impact looks like if we retain 20% versus 40% of </w:t>
      </w:r>
      <w:proofErr w:type="gramStart"/>
      <w:r>
        <w:rPr>
          <w:i/>
          <w:iCs/>
        </w:rPr>
        <w:t>high risk</w:t>
      </w:r>
      <w:proofErr w:type="gramEnd"/>
      <w:r>
        <w:rPr>
          <w:i/>
          <w:iCs/>
        </w:rPr>
        <w:t xml:space="preserve"> members.</w:t>
      </w:r>
    </w:p>
    <w:sectPr w:rsidR="000868CE">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8EA4" w14:textId="77777777" w:rsidR="00A6333B" w:rsidRDefault="00A6333B">
      <w:r>
        <w:separator/>
      </w:r>
    </w:p>
  </w:endnote>
  <w:endnote w:type="continuationSeparator" w:id="0">
    <w:p w14:paraId="26E84999" w14:textId="77777777" w:rsidR="00A6333B" w:rsidRDefault="00A6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C864" w14:textId="77777777" w:rsidR="000868CE" w:rsidRDefault="00000000">
    <w:pPr>
      <w:jc w:val="center"/>
    </w:pPr>
    <w:r>
      <w:rPr>
        <w:color w:val="888888"/>
        <w:sz w:val="17"/>
        <w:szCs w:val="17"/>
      </w:rPr>
      <w:t xml:space="preserve">Airline Loyalty Churn </w:t>
    </w:r>
    <w:proofErr w:type="gramStart"/>
    <w:r>
      <w:rPr>
        <w:color w:val="888888"/>
        <w:sz w:val="17"/>
        <w:szCs w:val="17"/>
      </w:rPr>
      <w:t>Report  |</w:t>
    </w:r>
    <w:proofErr w:type="gramEnd"/>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A70937">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A70937">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FC79" w14:textId="77777777" w:rsidR="00A6333B" w:rsidRDefault="00A6333B">
      <w:r>
        <w:separator/>
      </w:r>
    </w:p>
  </w:footnote>
  <w:footnote w:type="continuationSeparator" w:id="0">
    <w:p w14:paraId="0C3D6453" w14:textId="77777777" w:rsidR="00A6333B" w:rsidRDefault="00A63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D1288"/>
    <w:multiLevelType w:val="hybridMultilevel"/>
    <w:tmpl w:val="2580177E"/>
    <w:lvl w:ilvl="0" w:tplc="B01ED9FA">
      <w:start w:val="1"/>
      <w:numFmt w:val="bullet"/>
      <w:lvlText w:val="●"/>
      <w:lvlJc w:val="left"/>
      <w:pPr>
        <w:ind w:left="720" w:hanging="360"/>
      </w:pPr>
    </w:lvl>
    <w:lvl w:ilvl="1" w:tplc="F2984F30">
      <w:start w:val="1"/>
      <w:numFmt w:val="bullet"/>
      <w:lvlText w:val="○"/>
      <w:lvlJc w:val="left"/>
      <w:pPr>
        <w:ind w:left="1440" w:hanging="360"/>
      </w:pPr>
    </w:lvl>
    <w:lvl w:ilvl="2" w:tplc="5B80C3B0">
      <w:start w:val="1"/>
      <w:numFmt w:val="bullet"/>
      <w:lvlText w:val="■"/>
      <w:lvlJc w:val="left"/>
      <w:pPr>
        <w:ind w:left="2160" w:hanging="360"/>
      </w:pPr>
    </w:lvl>
    <w:lvl w:ilvl="3" w:tplc="EC647076">
      <w:start w:val="1"/>
      <w:numFmt w:val="bullet"/>
      <w:lvlText w:val="●"/>
      <w:lvlJc w:val="left"/>
      <w:pPr>
        <w:ind w:left="2880" w:hanging="360"/>
      </w:pPr>
    </w:lvl>
    <w:lvl w:ilvl="4" w:tplc="BA68B85E">
      <w:start w:val="1"/>
      <w:numFmt w:val="bullet"/>
      <w:lvlText w:val="○"/>
      <w:lvlJc w:val="left"/>
      <w:pPr>
        <w:ind w:left="3600" w:hanging="360"/>
      </w:pPr>
    </w:lvl>
    <w:lvl w:ilvl="5" w:tplc="9F96BF32">
      <w:start w:val="1"/>
      <w:numFmt w:val="bullet"/>
      <w:lvlText w:val="■"/>
      <w:lvlJc w:val="left"/>
      <w:pPr>
        <w:ind w:left="4320" w:hanging="360"/>
      </w:pPr>
    </w:lvl>
    <w:lvl w:ilvl="6" w:tplc="80ACD592">
      <w:start w:val="1"/>
      <w:numFmt w:val="bullet"/>
      <w:lvlText w:val="●"/>
      <w:lvlJc w:val="left"/>
      <w:pPr>
        <w:ind w:left="5040" w:hanging="360"/>
      </w:pPr>
    </w:lvl>
    <w:lvl w:ilvl="7" w:tplc="C37E3838">
      <w:start w:val="1"/>
      <w:numFmt w:val="bullet"/>
      <w:lvlText w:val="●"/>
      <w:lvlJc w:val="left"/>
      <w:pPr>
        <w:ind w:left="5760" w:hanging="360"/>
      </w:pPr>
    </w:lvl>
    <w:lvl w:ilvl="8" w:tplc="3E443A88">
      <w:start w:val="1"/>
      <w:numFmt w:val="bullet"/>
      <w:lvlText w:val="●"/>
      <w:lvlJc w:val="left"/>
      <w:pPr>
        <w:ind w:left="6480" w:hanging="360"/>
      </w:pPr>
    </w:lvl>
  </w:abstractNum>
  <w:abstractNum w:abstractNumId="1" w15:restartNumberingAfterBreak="0">
    <w:nsid w:val="416D3CB0"/>
    <w:multiLevelType w:val="hybridMultilevel"/>
    <w:tmpl w:val="EE06E044"/>
    <w:lvl w:ilvl="0" w:tplc="1AF8FF08">
      <w:start w:val="1"/>
      <w:numFmt w:val="bullet"/>
      <w:lvlText w:val="•"/>
      <w:lvlJc w:val="left"/>
      <w:pPr>
        <w:ind w:left="720" w:hanging="360"/>
      </w:pPr>
    </w:lvl>
    <w:lvl w:ilvl="1" w:tplc="8EF4A416">
      <w:numFmt w:val="decimal"/>
      <w:lvlText w:val=""/>
      <w:lvlJc w:val="left"/>
    </w:lvl>
    <w:lvl w:ilvl="2" w:tplc="60ECA4F4">
      <w:numFmt w:val="decimal"/>
      <w:lvlText w:val=""/>
      <w:lvlJc w:val="left"/>
    </w:lvl>
    <w:lvl w:ilvl="3" w:tplc="AB4609AA">
      <w:numFmt w:val="decimal"/>
      <w:lvlText w:val=""/>
      <w:lvlJc w:val="left"/>
    </w:lvl>
    <w:lvl w:ilvl="4" w:tplc="29A067D6">
      <w:numFmt w:val="decimal"/>
      <w:lvlText w:val=""/>
      <w:lvlJc w:val="left"/>
    </w:lvl>
    <w:lvl w:ilvl="5" w:tplc="001A6474">
      <w:numFmt w:val="decimal"/>
      <w:lvlText w:val=""/>
      <w:lvlJc w:val="left"/>
    </w:lvl>
    <w:lvl w:ilvl="6" w:tplc="376ECE4A">
      <w:numFmt w:val="decimal"/>
      <w:lvlText w:val=""/>
      <w:lvlJc w:val="left"/>
    </w:lvl>
    <w:lvl w:ilvl="7" w:tplc="74AA0338">
      <w:numFmt w:val="decimal"/>
      <w:lvlText w:val=""/>
      <w:lvlJc w:val="left"/>
    </w:lvl>
    <w:lvl w:ilvl="8" w:tplc="CF78C10A">
      <w:numFmt w:val="decimal"/>
      <w:lvlText w:val=""/>
      <w:lvlJc w:val="left"/>
    </w:lvl>
  </w:abstractNum>
  <w:num w:numId="1" w16cid:durableId="1188984177">
    <w:abstractNumId w:val="0"/>
    <w:lvlOverride w:ilvl="0">
      <w:startOverride w:val="1"/>
    </w:lvlOverride>
  </w:num>
  <w:num w:numId="2" w16cid:durableId="11782305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8CE"/>
    <w:rsid w:val="0004138E"/>
    <w:rsid w:val="000868CE"/>
    <w:rsid w:val="00A13B59"/>
    <w:rsid w:val="00A6333B"/>
    <w:rsid w:val="00A709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05A0"/>
  <w15:docId w15:val="{674A8379-847A-4BA0-A9A3-CE3EDA2D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4E79"/>
      <w:sz w:val="30"/>
      <w:szCs w:val="30"/>
    </w:rPr>
  </w:style>
  <w:style w:type="paragraph" w:styleId="Heading2">
    <w:name w:val="heading 2"/>
    <w:uiPriority w:val="9"/>
    <w:unhideWhenUsed/>
    <w:qFormat/>
    <w:pPr>
      <w:spacing w:before="20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2461</Words>
  <Characters>14030</Characters>
  <Application>Microsoft Office Word</Application>
  <DocSecurity>0</DocSecurity>
  <Lines>116</Lines>
  <Paragraphs>32</Paragraphs>
  <ScaleCrop>false</ScaleCrop>
  <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Akshita Singh</cp:lastModifiedBy>
  <cp:revision>2</cp:revision>
  <dcterms:created xsi:type="dcterms:W3CDTF">2026-06-14T17:35:00Z</dcterms:created>
  <dcterms:modified xsi:type="dcterms:W3CDTF">2026-06-14T17:35:00Z</dcterms:modified>
</cp:coreProperties>
</file>