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8BDFD1">
      <w:pPr>
        <w:pBdr>
          <w:top w:val="none" w:color="000000" w:sz="4" w:space="0"/>
          <w:left w:val="none" w:color="000000" w:sz="4" w:space="0"/>
          <w:bottom w:val="none" w:color="000000" w:sz="4" w:space="0"/>
          <w:right w:val="none" w:color="000000" w:sz="4" w:space="0"/>
        </w:pBdr>
        <w:spacing w:after="160" w:before="0" w:line="311" w:lineRule="auto"/>
        <w:ind w:right="0" w:hanging="425" w:left="0"/>
        <w:jc w:val="center"/>
        <w:rPr>
          <w:rFonts w:ascii="Times New Roman" w:hAnsi="Times New Roman" w:cs="Times New Roman"/>
        </w:rPr>
      </w:pPr>
      <w:r>
        <w:rPr>
          <w:rFonts w:ascii="Times New Roman" w:hAnsi="Times New Roman" w:eastAsia="Times New Roman" w:cs="Times New Roman"/>
          <w:b/>
          <w:color w:val="000000"/>
          <w:sz w:val="32"/>
          <w:highlight w:val="white"/>
          <w:u w:val="none"/>
        </w:rPr>
        <w:t xml:space="preserve">Dashboard Design</w:t>
      </w:r>
      <w:r>
        <w:rPr>
          <w:rFonts w:ascii="Times New Roman" w:hAnsi="Times New Roman" w:eastAsia="Times New Roman" w:cs="Times New Roman"/>
        </w:rPr>
      </w:r>
    </w:p>
    <w:p w14:paraId="35066B2C">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88"/>
        <w:gridCol w:w="4303"/>
      </w:tblGrid>
      <w:tr>
        <w:trPr>
          <w:trHeight w:val="278"/>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288" w:type="dxa"/>
            <w:vAlign w:val="top"/>
          </w:tcPr>
          <w:p w14:paraId="3C01B4D7">
            <w:pPr>
              <w:pBdr>
                <w:top w:val="none" w:color="000000" w:sz="4" w:space="0"/>
                <w:left w:val="none" w:color="000000" w:sz="4" w:space="0"/>
                <w:bottom w:val="none" w:color="000000" w:sz="4" w:space="0"/>
                <w:right w:val="none" w:color="000000" w:sz="4" w:space="0"/>
              </w:pBdr>
              <w:spacing w:after="0" w:before="0" w:line="288" w:lineRule="auto"/>
              <w:ind w:right="0" w:firstLine="0" w:left="131"/>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Date </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303" w:type="dxa"/>
            <w:vAlign w:val="top"/>
          </w:tcPr>
          <w:p w14:paraId="428A8DF6">
            <w:pPr>
              <w:pBdr>
                <w:top w:val="none" w:color="000000" w:sz="4" w:space="0"/>
                <w:left w:val="none" w:color="000000" w:sz="4" w:space="0"/>
                <w:bottom w:val="none" w:color="000000" w:sz="4" w:space="0"/>
                <w:right w:val="none" w:color="000000" w:sz="4" w:space="0"/>
              </w:pBdr>
              <w:spacing w:after="0" w:before="0" w:line="288" w:lineRule="auto"/>
              <w:ind w:right="0" w:firstLine="0" w:left="131"/>
              <w:rPr>
                <w:rFonts w:ascii="Times New Roman" w:hAnsi="Times New Roman" w:cs="Times New Roman"/>
                <w:szCs w:val="24"/>
              </w:rPr>
            </w:pPr>
            <w:r>
              <w:rPr>
                <w:rFonts w:ascii="Times New Roman" w:hAnsi="Times New Roman" w:eastAsia="Times New Roman" w:cs="Times New Roman"/>
                <w:color w:val="000000"/>
                <w:sz w:val="24"/>
                <w:szCs w:val="24"/>
                <w:u w:val="none"/>
                <w:lang w:val="en-US"/>
              </w:rPr>
              <w:t xml:space="preserve">25</w:t>
            </w:r>
            <w:r>
              <w:rPr>
                <w:rFonts w:ascii="Times New Roman" w:hAnsi="Times New Roman" w:eastAsia="Times New Roman" w:cs="Times New Roman"/>
                <w:color w:val="000000"/>
                <w:sz w:val="24"/>
                <w:szCs w:val="24"/>
                <w:u w:val="none"/>
              </w:rPr>
              <w:t xml:space="preserve"> July 2026</w:t>
            </w:r>
            <w:r>
              <w:rPr>
                <w:rFonts w:ascii="Times New Roman" w:hAnsi="Times New Roman" w:eastAsia="Times New Roman" w:cs="Times New Roman"/>
                <w:sz w:val="24"/>
                <w:szCs w:val="24"/>
              </w:rPr>
            </w:r>
          </w:p>
        </w:tc>
      </w:tr>
      <w:tr>
        <w:trPr>
          <w:trHeight w:val="278"/>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288" w:type="dxa"/>
            <w:vAlign w:val="top"/>
          </w:tcPr>
          <w:p w14:paraId="43C885CD">
            <w:pPr>
              <w:pBdr>
                <w:top w:val="none" w:color="000000" w:sz="4" w:space="0"/>
                <w:left w:val="none" w:color="000000" w:sz="4" w:space="0"/>
                <w:bottom w:val="none" w:color="000000" w:sz="4" w:space="0"/>
                <w:right w:val="none" w:color="000000" w:sz="4" w:space="0"/>
              </w:pBdr>
              <w:spacing w:after="0" w:before="0" w:line="288" w:lineRule="auto"/>
              <w:ind w:right="0" w:firstLine="0" w:left="131"/>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Project Name </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303" w:type="dxa"/>
            <w:vAlign w:val="top"/>
          </w:tcPr>
          <w:p w14:paraId="18C3F002">
            <w:pPr>
              <w:pBdr>
                <w:top w:val="none" w:color="000000" w:sz="4" w:space="0"/>
                <w:left w:val="none" w:color="000000" w:sz="4" w:space="0"/>
                <w:bottom w:val="none" w:color="000000" w:sz="4" w:space="0"/>
                <w:right w:val="none" w:color="000000" w:sz="4" w:space="0"/>
              </w:pBdr>
              <w:spacing w:after="0" w:before="0" w:line="288" w:lineRule="auto"/>
              <w:ind w:right="0" w:firstLine="0" w:left="131"/>
              <w:rPr>
                <w:rFonts w:ascii="Times New Roman" w:hAnsi="Times New Roman" w:cs="Times New Roman"/>
                <w:szCs w:val="24"/>
              </w:rPr>
            </w:pPr>
            <w:r>
              <w:rPr>
                <w:rFonts w:ascii="Times New Roman" w:hAnsi="Times New Roman" w:eastAsia="Times New Roman" w:cs="Times New Roman"/>
                <w:color w:val="000000"/>
                <w:sz w:val="24"/>
                <w:szCs w:val="24"/>
                <w:u w:val="none"/>
                <w:lang w:val="en-US"/>
              </w:rPr>
              <w:t xml:space="preserve">Global Ai in Education</w:t>
            </w:r>
            <w:r>
              <w:rPr>
                <w:rFonts w:ascii="Times New Roman" w:hAnsi="Times New Roman" w:eastAsia="Times New Roman" w:cs="Times New Roman"/>
                <w:sz w:val="24"/>
                <w:szCs w:val="24"/>
              </w:rPr>
            </w:r>
          </w:p>
        </w:tc>
      </w:tr>
      <w:tr>
        <w:trPr>
          <w:trHeight w:val="278"/>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288" w:type="dxa"/>
            <w:vAlign w:val="top"/>
          </w:tcPr>
          <w:p w14:paraId="11B1F31F">
            <w:pPr>
              <w:pBdr>
                <w:top w:val="none" w:color="000000" w:sz="4" w:space="0"/>
                <w:left w:val="none" w:color="000000" w:sz="4" w:space="0"/>
                <w:bottom w:val="none" w:color="000000" w:sz="4" w:space="0"/>
                <w:right w:val="none" w:color="000000" w:sz="4" w:space="0"/>
              </w:pBdr>
              <w:spacing w:after="0" w:before="0" w:line="288" w:lineRule="auto"/>
              <w:ind w:right="0" w:firstLine="0" w:left="131"/>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Maximum Marks </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303" w:type="dxa"/>
            <w:vAlign w:val="top"/>
          </w:tcPr>
          <w:p w14:paraId="12793504">
            <w:pPr>
              <w:pBdr>
                <w:top w:val="none" w:color="000000" w:sz="4" w:space="0"/>
                <w:left w:val="none" w:color="000000" w:sz="4" w:space="0"/>
                <w:bottom w:val="none" w:color="000000" w:sz="4" w:space="0"/>
                <w:right w:val="none" w:color="000000" w:sz="4" w:space="0"/>
              </w:pBdr>
              <w:spacing w:after="0" w:before="0" w:line="288" w:lineRule="auto"/>
              <w:ind w:right="0" w:firstLine="0" w:left="125"/>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5  Marks</w:t>
            </w:r>
            <w:r>
              <w:rPr>
                <w:rFonts w:ascii="Times New Roman" w:hAnsi="Times New Roman" w:eastAsia="Times New Roman" w:cs="Times New Roman"/>
                <w:sz w:val="24"/>
                <w:szCs w:val="24"/>
              </w:rPr>
            </w:r>
          </w:p>
        </w:tc>
      </w:tr>
    </w:tbl>
    <w:p w14:paraId="5B643E91">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D2A27C8">
      <w:pPr>
        <w:pStyle w:val="141"/>
        <w:pBdr>
          <w:top w:val="none" w:color="000000" w:sz="4" w:space="0"/>
          <w:left w:val="none" w:color="000000" w:sz="4" w:space="0"/>
          <w:bottom w:val="none" w:color="000000" w:sz="4" w:space="0"/>
          <w:right w:val="none" w:color="000000" w:sz="4" w:space="0"/>
        </w:pBdr>
        <w:spacing w:after="80" w:before="280" w:line="288"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u w:val="none"/>
        </w:rPr>
        <w:t xml:space="preserve">Activity 1: Interactive and Visually Appealing Dashboards</w:t>
      </w:r>
      <w:r>
        <w:rPr>
          <w:rFonts w:ascii="Times New Roman" w:hAnsi="Times New Roman" w:eastAsia="Times New Roman" w:cs="Times New Roman"/>
          <w:sz w:val="28"/>
          <w:szCs w:val="28"/>
        </w:rPr>
      </w:r>
      <w:r>
        <w:rPr>
          <w:rFonts w:ascii="Times New Roman" w:hAnsi="Times New Roman" w:cs="Times New Roman"/>
          <w:sz w:val="28"/>
          <w:szCs w:val="28"/>
        </w:rPr>
      </w:r>
    </w:p>
    <w:p w14:paraId="7148CAFC">
      <w:pPr>
        <w:pStyle w:val="668"/>
        <w:numPr>
          <w:ilvl w:val="0"/>
          <w:numId w:val="2"/>
        </w:numPr>
        <w:pBdr/>
        <w:spacing/>
        <w:ind/>
        <w:rPr>
          <w:b/>
          <w:bCs/>
        </w:rPr>
      </w:pPr>
      <w:r>
        <w:rPr>
          <w:rFonts w:ascii="Times New Roman" w:hAnsi="Times New Roman" w:eastAsia="Times New Roman" w:cs="Times New Roman"/>
          <w:b/>
          <w:bCs/>
          <w:sz w:val="28"/>
          <w:szCs w:val="28"/>
          <w:lang w:val="en-US"/>
        </w:rPr>
        <w:t xml:space="preserve">Dashboard 1</w:t>
      </w:r>
      <w:r>
        <w:rPr>
          <w:b/>
          <w:bCs/>
        </w:rPr>
      </w:r>
    </w:p>
    <w:p>
      <w:pPr>
        <w:pBdr/>
        <w:spacing/>
        <w:ind w:right="0" w:hanging="425" w:left="0"/>
        <w:rPr>
          <w:highlight w:val="none"/>
        </w:rPr>
      </w:pPr>
      <w:r/>
      <w:r>
        <mc:AlternateContent>
          <mc:Choice Requires="wpg">
            <w:drawing>
              <wp:inline xmlns:wp="http://schemas.openxmlformats.org/drawingml/2006/wordprocessingDrawing" distT="0" distB="0" distL="0" distR="0">
                <wp:extent cx="5940425" cy="302270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7312" name=""/>
                        <pic:cNvPicPr>
                          <a:picLocks noChangeAspect="1"/>
                        </pic:cNvPicPr>
                        <pic:nvPr/>
                      </pic:nvPicPr>
                      <pic:blipFill rotWithShape="1">
                        <a:blip r:embed="rId9"/>
                        <a:stretch/>
                      </pic:blipFill>
                      <pic:spPr bwMode="auto">
                        <a:xfrm>
                          <a:off x="0" y="0"/>
                          <a:ext cx="5940424" cy="3022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38.01pt;mso-wrap-distance-left:0.00pt;mso-wrap-distance-top:0.00pt;mso-wrap-distance-right:0.00pt;mso-wrap-distance-bottom:0.00pt;z-index:1;" stroked="false">
                <v:imagedata r:id="rId9" o:title=""/>
                <o:lock v:ext="edit" rotation="t"/>
              </v:shape>
            </w:pict>
          </mc:Fallback>
        </mc:AlternateContent>
      </w:r>
      <w:r/>
      <w:r/>
    </w:p>
    <w:p w14:paraId="05F19C46">
      <w:pPr>
        <w:pBdr/>
        <w:spacing/>
        <w:ind w:right="0" w:hanging="425" w:left="0"/>
        <w:rPr/>
      </w:pPr>
      <w:r/>
      <w:r/>
      <w:r/>
    </w:p>
    <w:p w14:paraId="514AD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Dashboard 1</w:t>
      </w:r>
      <w:r>
        <w:rPr>
          <w:rFonts w:ascii="Times New Roman" w:hAnsi="Times New Roman" w:eastAsia="Times New Roman" w:cs="Times New Roman"/>
          <w:color w:val="000000"/>
          <w:sz w:val="24"/>
        </w:rPr>
        <w:t xml:space="preserve"> provides a comprehensive overview of AI adoption and usage trends in the education sector from </w:t>
      </w:r>
      <w:r>
        <w:rPr>
          <w:rFonts w:ascii="Times New Roman" w:hAnsi="Times New Roman" w:eastAsia="Times New Roman" w:cs="Times New Roman"/>
          <w:b/>
          <w:color w:val="000000"/>
          <w:sz w:val="24"/>
        </w:rPr>
        <w:t xml:space="preserve">2015 to 2026</w:t>
      </w:r>
      <w:r>
        <w:rPr>
          <w:rFonts w:ascii="Times New Roman" w:hAnsi="Times New Roman" w:eastAsia="Times New Roman" w:cs="Times New Roman"/>
          <w:color w:val="000000"/>
          <w:sz w:val="24"/>
        </w:rPr>
        <w:t xml:space="preserve">. It highlights key performance indicators (KPIs), regional AI adoption, yearly growth, and country-wise school adoption, enabling stakeholders to evaluate the overall progress of AI integration in education.</w:t>
      </w:r>
      <w:r/>
    </w:p>
    <w:p w14:paraId="7AC4C4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Components of Dashboard 1</w:t>
      </w:r>
      <w:r/>
    </w:p>
    <w:p w14:paraId="600CBA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KPI Cards:</w:t>
      </w:r>
      <w:r>
        <w:rPr>
          <w:rFonts w:ascii="Times New Roman" w:hAnsi="Times New Roman" w:eastAsia="Times New Roman" w:cs="Times New Roman"/>
          <w:color w:val="000000"/>
          <w:sz w:val="24"/>
        </w:rPr>
        <w:t xml:space="preserve"> Display the average values of key metrics including Average Daily AI Usage, School AI Adoption Percentage, Student AI Usage Percentage, and Teacher AI Usage Percentage, offering a quick snapshot of overall AI adoption. </w:t>
      </w:r>
      <w:r/>
    </w:p>
    <w:p w14:paraId="4DC353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Student AI Usage Trend:</w:t>
      </w:r>
      <w:r>
        <w:rPr>
          <w:rFonts w:ascii="Times New Roman" w:hAnsi="Times New Roman" w:eastAsia="Times New Roman" w:cs="Times New Roman"/>
          <w:color w:val="000000"/>
          <w:sz w:val="24"/>
        </w:rPr>
        <w:t xml:space="preserve"> A line chart showing the steady increase in student AI usage over the years, helping identify long-term adoption trends. </w:t>
      </w:r>
      <w:r/>
    </w:p>
    <w:p w14:paraId="501E925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Region-wise Student AI Usage:</w:t>
      </w:r>
      <w:r>
        <w:rPr>
          <w:rFonts w:ascii="Times New Roman" w:hAnsi="Times New Roman" w:eastAsia="Times New Roman" w:cs="Times New Roman"/>
          <w:color w:val="000000"/>
          <w:sz w:val="24"/>
        </w:rPr>
        <w:t xml:space="preserve"> A horizontal bar chart comparing student AI usage across different regions. It helps determine which regions are leading or lagging in AI adoption. </w:t>
      </w:r>
      <w:r/>
    </w:p>
    <w:p w14:paraId="370B05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World Map of AI Adoption:</w:t>
      </w:r>
      <w:r>
        <w:rPr>
          <w:rFonts w:ascii="Times New Roman" w:hAnsi="Times New Roman" w:eastAsia="Times New Roman" w:cs="Times New Roman"/>
          <w:color w:val="000000"/>
          <w:sz w:val="24"/>
        </w:rPr>
        <w:t xml:space="preserve"> A geographic visualization illustrating school AI adoption levels across different countries. Darker shades indicate relatively higher adoption, allowing easy identification of leading nations. </w:t>
      </w:r>
      <w:r/>
    </w:p>
    <w:p w14:paraId="421C8B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Adoption Growth by Year:</w:t>
      </w:r>
      <w:r>
        <w:rPr>
          <w:rFonts w:ascii="Times New Roman" w:hAnsi="Times New Roman" w:eastAsia="Times New Roman" w:cs="Times New Roman"/>
          <w:color w:val="000000"/>
          <w:sz w:val="24"/>
        </w:rPr>
        <w:t xml:space="preserve"> An area chart presenting the year-wise growth of overall AI adoption, demonstrating the continuous expansion of AI implementation in educational institutions. </w:t>
      </w:r>
      <w:r/>
    </w:p>
    <w:p w14:paraId="093B29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Interactive Filters:</w:t>
      </w:r>
      <w:r>
        <w:rPr>
          <w:rFonts w:ascii="Times New Roman" w:hAnsi="Times New Roman" w:eastAsia="Times New Roman" w:cs="Times New Roman"/>
          <w:color w:val="000000"/>
          <w:sz w:val="24"/>
        </w:rPr>
        <w:t xml:space="preserve"> Users can filter the dashboard by </w:t>
      </w:r>
      <w:r>
        <w:rPr>
          <w:rFonts w:ascii="Times New Roman" w:hAnsi="Times New Roman" w:eastAsia="Times New Roman" w:cs="Times New Roman"/>
          <w:b/>
          <w:color w:val="000000"/>
          <w:sz w:val="24"/>
        </w:rPr>
        <w:t xml:space="preserve">Year</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Month</w:t>
      </w:r>
      <w:r>
        <w:rPr>
          <w:rFonts w:ascii="Times New Roman" w:hAnsi="Times New Roman" w:eastAsia="Times New Roman" w:cs="Times New Roman"/>
          <w:color w:val="000000"/>
          <w:sz w:val="24"/>
        </w:rPr>
        <w:t xml:space="preserve"> to perform dynamic analysis and observe changes across different time periods. </w:t>
      </w:r>
      <w:r/>
    </w:p>
    <w:p w14:paraId="72C4187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Overall Insight</w:t>
      </w:r>
      <w:r/>
    </w:p>
    <w:p w14:paraId="4FFE1F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dashboard indicates a consistent increase in AI adoption throughout the years. Student AI usage has grown significantly, with Asian countries showing the highest regional usage. The global map highlights countries actively implementing AI in education,</w:t>
      </w:r>
      <w:r>
        <w:rPr>
          <w:rFonts w:ascii="Times New Roman" w:hAnsi="Times New Roman" w:eastAsia="Times New Roman" w:cs="Times New Roman"/>
          <w:color w:val="000000"/>
          <w:sz w:val="24"/>
        </w:rPr>
        <w:t xml:space="preserve"> while the KPI cards provide a concise summary of the overall adoption status.</w:t>
      </w:r>
      <w:r>
        <w:rPr>
          <w:rFonts w:ascii="Times New Roman" w:hAnsi="Times New Roman" w:eastAsia="Times New Roman" w:cs="Times New Roman"/>
          <w:sz w:val="24"/>
        </w:rPr>
      </w:r>
    </w:p>
    <w:p w14:paraId="3458CF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D6F3F72">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highlight w:val="none"/>
          <w:lang w:val="en-US"/>
        </w:rPr>
        <w:t xml:space="preserve">Dashboard 2</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sz w:val="28"/>
          <w:szCs w:val="28"/>
        </w:rPr>
      </w:r>
    </w:p>
    <w:p w14:paraId="0B6A81B1">
      <w:pPr>
        <w:pBdr>
          <w:top w:val="none" w:color="000000" w:sz="4" w:space="0"/>
          <w:left w:val="none" w:color="000000" w:sz="4" w:space="0"/>
          <w:bottom w:val="none" w:color="000000" w:sz="4" w:space="0"/>
          <w:right w:val="none" w:color="000000" w:sz="4" w:space="0"/>
        </w:pBdr>
        <w:spacing/>
        <w:ind w:right="0" w:hanging="992" w:left="709"/>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mc:AlternateContent>
          <mc:Choice Requires="wpg">
            <w:drawing>
              <wp:inline xmlns:wp="http://schemas.openxmlformats.org/drawingml/2006/wordprocessingDrawing" distT="0" distB="0" distL="0" distR="0">
                <wp:extent cx="5940425" cy="30333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4613" name=""/>
                        <pic:cNvPicPr>
                          <a:picLocks noChangeAspect="1"/>
                        </pic:cNvPicPr>
                        <pic:nvPr/>
                      </pic:nvPicPr>
                      <pic:blipFill rotWithShape="1">
                        <a:blip r:embed="rId10"/>
                        <a:stretch/>
                      </pic:blipFill>
                      <pic:spPr bwMode="auto">
                        <a:xfrm>
                          <a:off x="0" y="0"/>
                          <a:ext cx="5940424" cy="3033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38.8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sz w:val="28"/>
          <w:szCs w:val="28"/>
        </w:rPr>
      </w:r>
    </w:p>
    <w:p w14:paraId="58CF4D6A">
      <w:pPr>
        <w:pBdr>
          <w:top w:val="none" w:color="000000" w:sz="4" w:space="0"/>
          <w:left w:val="none" w:color="000000" w:sz="4" w:space="0"/>
          <w:bottom w:val="none" w:color="000000" w:sz="4" w:space="0"/>
          <w:right w:val="none" w:color="000000" w:sz="4" w:space="0"/>
        </w:pBdr>
        <w:spacing/>
        <w:ind w:right="0" w:hanging="992" w:left="709"/>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6A6FD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Dashboard 2</w:t>
      </w:r>
      <w:r>
        <w:rPr>
          <w:rFonts w:ascii="Times New Roman" w:hAnsi="Times New Roman" w:eastAsia="Times New Roman" w:cs="Times New Roman"/>
          <w:color w:val="000000"/>
          <w:sz w:val="24"/>
        </w:rPr>
        <w:t xml:space="preserve"> focuses on comparative and policy-based analysis of AI usage. It examines AI adoption among students and teachers, government AI policies, urban-rural differences, regional AI tool preferences, and the popularity of different AI tools.</w:t>
      </w:r>
      <w:r/>
    </w:p>
    <w:p w14:paraId="63378EF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Components of Dashboard 2</w:t>
      </w:r>
      <w:r/>
    </w:p>
    <w:p w14:paraId="0A13FF5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Country-wise Teacher vs Student AI Usage:</w:t>
      </w:r>
      <w:r>
        <w:rPr>
          <w:rFonts w:ascii="Times New Roman" w:hAnsi="Times New Roman" w:eastAsia="Times New Roman" w:cs="Times New Roman"/>
          <w:color w:val="000000"/>
          <w:sz w:val="24"/>
        </w:rPr>
        <w:t xml:space="preserve"> A grouped bar chart comparing average AI usage percentages between students and teachers for each country, helping identify adoption gaps among different user groups. </w:t>
      </w:r>
      <w:r/>
    </w:p>
    <w:p w14:paraId="7B59BD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Government AI Policy Distribution:</w:t>
      </w:r>
      <w:r>
        <w:rPr>
          <w:rFonts w:ascii="Times New Roman" w:hAnsi="Times New Roman" w:eastAsia="Times New Roman" w:cs="Times New Roman"/>
          <w:color w:val="000000"/>
          <w:sz w:val="24"/>
        </w:rPr>
        <w:t xml:space="preserve"> A pie chart displaying the proportion of countries with different AI policy statuses (Active, Draft, and None), providing insight into governmental support for AI implementation. </w:t>
      </w:r>
      <w:r/>
    </w:p>
    <w:p w14:paraId="4D2C43D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Urban-Rural Difference:</w:t>
      </w:r>
      <w:r>
        <w:rPr>
          <w:rFonts w:ascii="Times New Roman" w:hAnsi="Times New Roman" w:eastAsia="Times New Roman" w:cs="Times New Roman"/>
          <w:color w:val="000000"/>
          <w:sz w:val="24"/>
        </w:rPr>
        <w:t xml:space="preserve"> A vertical bar chart illustrating AI usage differences between urban and rural populations across countries, highlighting the extent of the digital divide. </w:t>
      </w:r>
      <w:r/>
    </w:p>
    <w:p w14:paraId="02C45CF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Tool Preference by Region:</w:t>
      </w:r>
      <w:r>
        <w:rPr>
          <w:rFonts w:ascii="Times New Roman" w:hAnsi="Times New Roman" w:eastAsia="Times New Roman" w:cs="Times New Roman"/>
          <w:color w:val="000000"/>
          <w:sz w:val="24"/>
        </w:rPr>
        <w:t xml:space="preserve"> A stacked bar chart showing the distribution of popular AI tools across various regions, enabling comparison of regional preferences for AI platforms. </w:t>
      </w:r>
      <w:r/>
    </w:p>
    <w:p w14:paraId="483AEE0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Tool Popularity:</w:t>
      </w:r>
      <w:r>
        <w:rPr>
          <w:rFonts w:ascii="Times New Roman" w:hAnsi="Times New Roman" w:eastAsia="Times New Roman" w:cs="Times New Roman"/>
          <w:color w:val="000000"/>
          <w:sz w:val="24"/>
        </w:rPr>
        <w:t xml:space="preserve"> A bubble chart representing the overall popularity of major AI tools such as ChatGPT, Google Gemini, Khanmigo, and Microsoft Copilot. Larger bubbles indicate higher adoption and usage. </w:t>
      </w:r>
      <w:r/>
    </w:p>
    <w:p w14:paraId="02ED039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Interactive Filters and Legends:</w:t>
      </w:r>
      <w:r>
        <w:rPr>
          <w:rFonts w:ascii="Times New Roman" w:hAnsi="Times New Roman" w:eastAsia="Times New Roman" w:cs="Times New Roman"/>
          <w:color w:val="000000"/>
          <w:sz w:val="24"/>
        </w:rPr>
        <w:t xml:space="preserve"> Users can analyze the dashboard using filters for AI tools, policy scores, and measurement categories, making the dashboard interactive and easy to explore. </w:t>
      </w:r>
      <w:r/>
    </w:p>
    <w:p w14:paraId="6F66174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Overall Insight</w:t>
      </w:r>
      <w:r/>
    </w:p>
    <w:p w14:paraId="7127A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reveals that student AI usage is generally slightly higher than teacher AI usage across most countries. Government AI policy implementation varies considerably, with many countries still operating under draft or no formal AI policies. Urban a</w:t>
      </w:r>
      <w:r>
        <w:rPr>
          <w:rFonts w:ascii="Times New Roman" w:hAnsi="Times New Roman" w:eastAsia="Times New Roman" w:cs="Times New Roman"/>
          <w:color w:val="000000"/>
          <w:sz w:val="24"/>
        </w:rPr>
        <w:t xml:space="preserve">reas consistently exhibit greater AI usage than rural areas, emphasizing the need to bridge the digital divide. Regional AI tool preferences differ, although ChatGPT and Google Gemini remain among the most widely adopted AI platforms globally.</w:t>
      </w:r>
      <w:r/>
    </w:p>
    <w:p w14:paraId="0E38C320">
      <w:pPr>
        <w:pBdr>
          <w:top w:val="none" w:color="000000" w:sz="4" w:space="0"/>
          <w:left w:val="none" w:color="000000" w:sz="4" w:space="0"/>
          <w:bottom w:val="none" w:color="000000" w:sz="4" w:space="0"/>
          <w:right w:val="none" w:color="000000" w:sz="4" w:space="0"/>
        </w:pBdr>
        <w:spacing/>
        <w:ind w:right="0" w:hanging="992" w:left="709"/>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3E4B90C5">
      <w:pPr>
        <w:pStyle w:val="141"/>
        <w:pBdr>
          <w:top w:val="none" w:color="000000" w:sz="4" w:space="0"/>
          <w:left w:val="none" w:color="000000" w:sz="4" w:space="0"/>
          <w:bottom w:val="none" w:color="000000" w:sz="4" w:space="0"/>
          <w:right w:val="none" w:color="000000" w:sz="4" w:space="0"/>
        </w:pBdr>
        <w:spacing w:after="80" w:before="280" w:line="288" w:lineRule="auto"/>
        <w:ind w:right="0" w:firstLine="0" w:left="0"/>
        <w:rPr>
          <w:sz w:val="28"/>
          <w:szCs w:val="28"/>
        </w:rPr>
      </w:pPr>
      <w:r>
        <w:rPr>
          <w:rFonts w:ascii="Calibri" w:hAnsi="Calibri" w:eastAsia="Calibri" w:cs="Calibri"/>
          <w:b/>
          <w:color w:val="000000"/>
          <w:sz w:val="26"/>
          <w:highlight w:val="none"/>
          <w:u w:val="none"/>
        </w:rPr>
      </w:r>
      <w:r>
        <w:rPr>
          <w:rFonts w:ascii="Calibri" w:hAnsi="Calibri" w:eastAsia="Calibri" w:cs="Calibri"/>
          <w:b/>
          <w:color w:val="000000"/>
          <w:sz w:val="26"/>
          <w:highlight w:val="none"/>
          <w:u w:val="none"/>
        </w:rPr>
      </w:r>
      <w:r>
        <w:rPr>
          <w:rFonts w:ascii="Calibri" w:hAnsi="Calibri" w:eastAsia="Calibri" w:cs="Calibri"/>
          <w:b/>
          <w:color w:val="000000"/>
          <w:sz w:val="26"/>
          <w:highlight w:val="none"/>
          <w:u w:val="none"/>
        </w:rPr>
      </w:r>
    </w:p>
    <w:p w14:paraId="69C362D9">
      <w:pPr>
        <w:pStyle w:val="141"/>
        <w:pBdr>
          <w:top w:val="none" w:color="000000" w:sz="4" w:space="0"/>
          <w:left w:val="none" w:color="000000" w:sz="4" w:space="0"/>
          <w:bottom w:val="none" w:color="000000" w:sz="4" w:space="0"/>
          <w:right w:val="none" w:color="000000" w:sz="4" w:space="0"/>
        </w:pBdr>
        <w:spacing w:after="80" w:before="280" w:line="288" w:lineRule="auto"/>
        <w:ind w:right="0" w:firstLine="0" w:left="0"/>
        <w:rPr>
          <w:rFonts w:ascii="Times New Roman" w:hAnsi="Times New Roman" w:cs="Times New Roman"/>
          <w:b/>
          <w:bCs/>
          <w:color w:val="000000"/>
          <w:sz w:val="28"/>
          <w:szCs w:val="28"/>
          <w:highlight w:val="none"/>
          <w:u w:val="none"/>
        </w:rPr>
      </w:pPr>
      <w:r>
        <w:rPr>
          <w:rFonts w:ascii="Times New Roman" w:hAnsi="Times New Roman" w:eastAsia="Times New Roman" w:cs="Times New Roman"/>
          <w:b/>
          <w:color w:val="000000"/>
          <w:sz w:val="28"/>
          <w:szCs w:val="28"/>
          <w:u w:val="none"/>
        </w:rPr>
        <w:t xml:space="preserve">Activity 2: Live Deployment Link</w:t>
      </w:r>
      <w:r>
        <w:rPr>
          <w:rFonts w:ascii="Times New Roman" w:hAnsi="Times New Roman" w:eastAsia="Times New Roman" w:cs="Times New Roman"/>
          <w:sz w:val="28"/>
          <w:szCs w:val="28"/>
        </w:rPr>
      </w:r>
    </w:p>
    <w:p w14:paraId="78E3C034">
      <w:pPr>
        <w:pBdr>
          <w:top w:val="none" w:color="000000" w:sz="4" w:space="0"/>
          <w:left w:val="none" w:color="000000" w:sz="4" w:space="0"/>
          <w:bottom w:val="none" w:color="000000" w:sz="4" w:space="0"/>
          <w:right w:val="none" w:color="000000" w:sz="4" w:space="0"/>
        </w:pBdr>
        <w:spacing w:after="240" w:before="24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Below is the verified public access link to the interactive, cloud-hosted visualization story:</w:t>
      </w:r>
      <w:r>
        <w:rPr>
          <w:rFonts w:ascii="Times New Roman" w:hAnsi="Times New Roman" w:eastAsia="Times New Roman" w:cs="Times New Roman"/>
          <w:sz w:val="24"/>
          <w:szCs w:val="24"/>
        </w:rPr>
      </w:r>
    </w:p>
    <w:p w14:paraId="2418F26A">
      <w:pPr>
        <w:pBdr>
          <w:top w:val="none" w:color="000000" w:sz="4" w:space="0"/>
          <w:left w:val="none" w:color="000000" w:sz="4" w:space="0"/>
          <w:bottom w:val="none" w:color="000000" w:sz="4" w:space="0"/>
          <w:right w:val="none" w:color="000000" w:sz="4" w:space="0"/>
        </w:pBdr>
        <w:spacing w:after="240" w:before="240" w:line="288" w:lineRule="auto"/>
        <w:ind w:right="0" w:firstLine="0" w:left="0"/>
        <w:rPr>
          <w:rFonts w:ascii="Times New Roman" w:hAnsi="Times New Roman" w:cs="Times New Roman"/>
          <w:b/>
          <w:bCs/>
          <w:color w:val="000000"/>
          <w:sz w:val="28"/>
          <w:szCs w:val="28"/>
          <w:highlight w:val="none"/>
          <w:u w:val="none"/>
        </w:rPr>
      </w:pPr>
      <w:r>
        <w:rPr>
          <w:rFonts w:ascii="Times New Roman" w:hAnsi="Times New Roman" w:eastAsia="Times New Roman" w:cs="Times New Roman"/>
          <w:b/>
          <w:color w:val="000000"/>
          <w:sz w:val="28"/>
          <w:szCs w:val="28"/>
          <w:u w:val="none"/>
        </w:rPr>
        <w:t xml:space="preserve">Tableau Public Dashboard Link</w:t>
      </w:r>
      <w:r>
        <w:rPr>
          <w:rFonts w:ascii="Times New Roman" w:hAnsi="Times New Roman" w:eastAsia="Times New Roman" w:cs="Times New Roman"/>
          <w:b/>
          <w:color w:val="000000"/>
          <w:sz w:val="28"/>
          <w:szCs w:val="28"/>
          <w:u w:val="none"/>
          <w:lang w:val="en-US"/>
        </w:rPr>
        <w:t xml:space="preserve">:</w:t>
      </w:r>
      <w:r>
        <w:rPr>
          <w:rFonts w:ascii="Times New Roman" w:hAnsi="Times New Roman" w:eastAsia="Times New Roman" w:cs="Times New Roman"/>
          <w:sz w:val="28"/>
          <w:szCs w:val="28"/>
        </w:rPr>
      </w:r>
    </w:p>
    <w:p w14:paraId="1376CBF7">
      <w:pPr>
        <w:pBdr>
          <w:top w:val="none" w:color="000000" w:sz="4" w:space="0"/>
          <w:left w:val="none" w:color="000000" w:sz="4" w:space="0"/>
          <w:bottom w:val="none" w:color="000000" w:sz="4" w:space="0"/>
          <w:right w:val="none" w:color="000000" w:sz="4" w:space="0"/>
        </w:pBdr>
        <w:spacing w:after="240" w:before="240" w:line="288" w:lineRule="auto"/>
        <w:ind w:right="0" w:firstLine="0" w:left="0"/>
        <w:rPr>
          <w:sz w:val="24"/>
          <w:szCs w:val="24"/>
        </w:rPr>
      </w:pPr>
      <w:r>
        <w:rPr>
          <w:rFonts w:ascii="Calibri" w:hAnsi="Calibri" w:eastAsia="Calibri" w:cs="Calibri"/>
          <w:b/>
          <w:color w:val="000000"/>
          <w:sz w:val="28"/>
          <w:highlight w:val="none"/>
          <w:u w:val="none"/>
          <w:lang w:val="en-US"/>
        </w:rPr>
      </w:r>
      <w:r>
        <w:rPr>
          <w:rFonts w:ascii="Calibri" w:hAnsi="Calibri" w:eastAsia="Calibri" w:cs="Calibri"/>
          <w:b/>
          <w:color w:val="000000"/>
          <w:sz w:val="28"/>
          <w:highlight w:val="none"/>
          <w:u w:val="none"/>
          <w:lang w:val="en-US"/>
        </w:rPr>
      </w:r>
      <w:hyperlink r:id="rId11" w:tooltip="https://public.tableau.com/app/profile/akshita.bhadauria/vizzes" w:history="1">
        <w:r>
          <w:rPr>
            <w:rStyle w:val="187"/>
            <w:rFonts w:ascii="Calibri" w:hAnsi="Calibri" w:eastAsia="Calibri" w:cs="Calibri"/>
            <w:b/>
            <w:sz w:val="28"/>
            <w:highlight w:val="none"/>
            <w:lang w:val="en-US"/>
          </w:rPr>
          <w:t xml:space="preserve">https://public.tableau.com/app/profile/akshita.bhadauria/vizzes</w:t>
        </w:r>
      </w:hyperlink>
      <w:r>
        <w:rPr>
          <w:rFonts w:ascii="Calibri" w:hAnsi="Calibri" w:eastAsia="Calibri" w:cs="Calibri"/>
          <w:b/>
          <w:color w:val="000000"/>
          <w:sz w:val="28"/>
          <w:highlight w:val="none"/>
          <w:u w:val="none"/>
          <w:lang w:val="en-US"/>
        </w:rPr>
      </w:r>
      <w:r>
        <w:rPr>
          <w:rFonts w:ascii="Calibri" w:hAnsi="Calibri" w:eastAsia="Calibri" w:cs="Calibri"/>
          <w:b/>
          <w:color w:val="000000"/>
          <w:sz w:val="28"/>
          <w:highlight w:val="none"/>
          <w:u w:val="none"/>
          <w:lang w:val="en-US"/>
        </w:rPr>
      </w:r>
    </w:p>
    <w:p w14:paraId="03C851BE">
      <w:pPr>
        <w:pBdr>
          <w:top w:val="none" w:color="000000" w:sz="4" w:space="0"/>
          <w:left w:val="none" w:color="000000" w:sz="4" w:space="0"/>
          <w:bottom w:val="none" w:color="000000" w:sz="4" w:space="0"/>
          <w:right w:val="none" w:color="000000" w:sz="4" w:space="0"/>
        </w:pBdr>
        <w:spacing w:after="200" w:before="0" w:line="288" w:lineRule="auto"/>
        <w:ind w:right="0" w:firstLine="0" w:left="0"/>
        <w:rPr/>
      </w:pPr>
      <w:r/>
      <w:r>
        <w:rPr>
          <w:rFonts w:ascii="Cambria" w:hAnsi="Cambria" w:eastAsia="Cambria" w:cs="Cambria"/>
          <w:color w:val="000000"/>
          <w:sz w:val="24"/>
          <w:highlight w:val="white"/>
          <w:u w:val="none"/>
        </w:rPr>
      </w:r>
      <w:r/>
    </w:p>
    <w:p w14:paraId="6B466899">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5B50FF7">
      <w:pPr>
        <w:pBdr>
          <w:top w:val="none" w:color="000000" w:sz="4" w:space="0"/>
          <w:left w:val="none" w:color="000000" w:sz="4" w:space="0"/>
          <w:bottom w:val="none" w:color="000000" w:sz="4" w:space="0"/>
          <w:right w:val="none" w:color="000000" w:sz="4" w:space="0"/>
        </w:pBdr>
        <w:spacing/>
        <w:ind w:right="0" w:hanging="992" w:left="709"/>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ADB44AF">
      <w:pPr>
        <w:pBdr/>
        <w:spacing/>
        <w:ind w:right="0" w:hanging="425" w:left="0"/>
        <w:rPr/>
      </w:pP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Calibri">
    <w:panose1 w:val="020F0502020204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8518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C02FABF"/>
    <w:lvl w:ilvl="0">
      <w:isLgl w:val="false"/>
      <w:lvlJc w:val="left"/>
      <w:lvlText w:val="v"/>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7F43B3D"/>
    <w:lvl w:ilvl="0">
      <w:isLgl w:val="false"/>
      <w:lvlJc w:val="left"/>
      <w:lvlText w:val="v"/>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592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ublic.tableau.com/app/profile/akshita.bhadauria/vizze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2026-07-22T18:32:55Z</dcterms:modified>
</cp:coreProperties>
</file>