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E355058">
      <w:pPr>
        <w:pBdr>
          <w:top w:val="none" w:color="000000" w:sz="4" w:space="0"/>
          <w:left w:val="none" w:color="000000" w:sz="4" w:space="0"/>
          <w:bottom w:val="none" w:color="000000" w:sz="4" w:space="0"/>
          <w:right w:val="none" w:color="000000" w:sz="4" w:space="0"/>
        </w:pBdr>
        <w:spacing w:after="0" w:before="0" w:line="311" w:lineRule="auto"/>
        <w:ind w:right="0" w:firstLine="0" w:left="0"/>
        <w:jc w:val="center"/>
        <w:rPr/>
      </w:pPr>
      <w:r>
        <w:rPr>
          <w:rFonts w:ascii="Times New Roman" w:hAnsi="Times New Roman" w:eastAsia="Times New Roman" w:cs="Times New Roman"/>
          <w:b/>
          <w:color w:val="000000"/>
          <w:sz w:val="28"/>
          <w:u w:val="none"/>
        </w:rPr>
        <w:t xml:space="preserve">Data Collection and Preprocessing Phase</w:t>
      </w:r>
      <w:r/>
    </w:p>
    <w:p w14:paraId="608B137B">
      <w:pPr>
        <w:pBdr>
          <w:top w:val="none" w:color="000000" w:sz="4" w:space="0"/>
          <w:left w:val="none" w:color="000000" w:sz="4" w:space="0"/>
          <w:bottom w:val="none" w:color="000000" w:sz="4" w:space="0"/>
          <w:right w:val="none" w:color="000000" w:sz="4" w:space="0"/>
        </w:pBdr>
        <w:spacing/>
        <w:ind w:right="0" w:firstLine="0" w:left="0"/>
        <w:rPr/>
      </w:pPr>
      <w:r>
        <w:rPr>
          <w:sz w:val="24"/>
        </w:rPr>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468"/>
        <w:gridCol w:w="4468"/>
      </w:tblGrid>
      <w:tr>
        <w:trPr>
          <w:trHeight w:val="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4468" w:type="dxa"/>
            <w:vAlign w:val="top"/>
          </w:tcPr>
          <w:p w14:paraId="6E01BDD3">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Times New Roman" w:hAnsi="Times New Roman" w:eastAsia="Times New Roman" w:cs="Times New Roman"/>
                <w:color w:val="000000"/>
                <w:sz w:val="24"/>
                <w:u w:val="none"/>
              </w:rPr>
              <w:t xml:space="preserve">Date</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4468" w:type="dxa"/>
            <w:vAlign w:val="top"/>
          </w:tcPr>
          <w:p w14:paraId="584F43E5">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Times New Roman" w:hAnsi="Times New Roman" w:eastAsia="Times New Roman" w:cs="Times New Roman"/>
                <w:color w:val="000000"/>
                <w:sz w:val="24"/>
                <w:u w:val="none"/>
                <w:lang w:val="en-US"/>
              </w:rPr>
              <w:t xml:space="preserve">25</w:t>
            </w:r>
            <w:r>
              <w:rPr>
                <w:rFonts w:ascii="Times New Roman" w:hAnsi="Times New Roman" w:eastAsia="Times New Roman" w:cs="Times New Roman"/>
                <w:color w:val="000000"/>
                <w:sz w:val="24"/>
                <w:u w:val="none"/>
              </w:rPr>
              <w:t xml:space="preserve"> July 2026</w:t>
            </w:r>
            <w:r/>
          </w:p>
        </w:tc>
      </w:tr>
      <w:tr>
        <w:trPr>
          <w:trHeight w:val="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4468" w:type="dxa"/>
            <w:vAlign w:val="top"/>
          </w:tcPr>
          <w:p w14:paraId="26AF73D9">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Times New Roman" w:hAnsi="Times New Roman" w:eastAsia="Times New Roman" w:cs="Times New Roman"/>
                <w:color w:val="000000"/>
                <w:sz w:val="24"/>
                <w:u w:val="none"/>
              </w:rPr>
              <w:t xml:space="preserve">Project Title</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4468" w:type="dxa"/>
            <w:vAlign w:val="top"/>
          </w:tcPr>
          <w:p w14:paraId="1D91D3E3">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Times New Roman" w:hAnsi="Times New Roman" w:eastAsia="Times New Roman" w:cs="Times New Roman"/>
                <w:color w:val="000000"/>
                <w:sz w:val="24"/>
                <w:u w:val="none"/>
                <w:lang w:val="en-US"/>
              </w:rPr>
              <w:t xml:space="preserve">Global Ai in Education</w:t>
            </w:r>
            <w:r/>
          </w:p>
        </w:tc>
      </w:tr>
      <w:tr>
        <w:trPr>
          <w:trHeight w:val="0"/>
        </w:trPr>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4468" w:type="dxa"/>
            <w:vAlign w:val="top"/>
          </w:tcPr>
          <w:p w14:paraId="1449D6E7">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Times New Roman" w:hAnsi="Times New Roman" w:eastAsia="Times New Roman" w:cs="Times New Roman"/>
                <w:color w:val="000000"/>
                <w:sz w:val="24"/>
                <w:u w:val="none"/>
              </w:rPr>
              <w:t xml:space="preserve">Maximum Marks</w:t>
            </w:r>
            <w:r/>
          </w:p>
        </w:tc>
        <w:tc>
          <w:tcPr>
            <w:tcBorders>
              <w:top w:val="single" w:color="000000" w:sz="8" w:space="0"/>
              <w:left w:val="single" w:color="000000" w:sz="8" w:space="0"/>
              <w:bottom w:val="single" w:color="000000" w:sz="8" w:space="0"/>
              <w:right w:val="single" w:color="000000" w:sz="8" w:space="0"/>
            </w:tcBorders>
            <w:tcMar>
              <w:left w:w="100" w:type="dxa"/>
              <w:top w:w="100" w:type="dxa"/>
              <w:right w:w="100" w:type="dxa"/>
              <w:bottom w:w="100" w:type="dxa"/>
            </w:tcMar>
            <w:tcW w:w="4468" w:type="dxa"/>
            <w:vAlign w:val="top"/>
          </w:tcPr>
          <w:p w14:paraId="0FC167D8">
            <w:pPr>
              <w:pBdr>
                <w:top w:val="none" w:color="000000" w:sz="4" w:space="0"/>
                <w:left w:val="none" w:color="000000" w:sz="4" w:space="0"/>
                <w:bottom w:val="none" w:color="000000" w:sz="4" w:space="0"/>
                <w:right w:val="none" w:color="000000" w:sz="4" w:space="0"/>
              </w:pBdr>
              <w:spacing w:after="0" w:before="0" w:line="288" w:lineRule="auto"/>
              <w:ind w:right="0" w:firstLine="0" w:left="0"/>
              <w:rPr/>
            </w:pPr>
            <w:r>
              <w:rPr>
                <w:rFonts w:ascii="Times New Roman" w:hAnsi="Times New Roman" w:eastAsia="Times New Roman" w:cs="Times New Roman"/>
                <w:color w:val="000000"/>
                <w:sz w:val="24"/>
                <w:u w:val="none"/>
              </w:rPr>
              <w:t xml:space="preserve">10 Marks</w:t>
            </w:r>
            <w:r/>
          </w:p>
        </w:tc>
      </w:tr>
    </w:tbl>
    <w:p w14:paraId="6D6ACD2A">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6BD67312">
      <w:pPr>
        <w:pBdr>
          <w:top w:val="none" w:color="000000" w:sz="4" w:space="0"/>
          <w:left w:val="none" w:color="000000" w:sz="4" w:space="0"/>
          <w:bottom w:val="none" w:color="000000" w:sz="4" w:space="0"/>
          <w:right w:val="none" w:color="000000" w:sz="4" w:space="0"/>
        </w:pBdr>
        <w:spacing w:after="160" w:before="0" w:line="311" w:lineRule="auto"/>
        <w:ind w:right="0" w:firstLine="0" w:left="0"/>
        <w:rPr/>
      </w:pPr>
      <w:r>
        <w:rPr>
          <w:rFonts w:ascii="Times New Roman" w:hAnsi="Times New Roman" w:eastAsia="Times New Roman" w:cs="Times New Roman"/>
          <w:b/>
          <w:color w:val="000000"/>
          <w:sz w:val="24"/>
          <w:u w:val="none"/>
        </w:rPr>
        <w:t xml:space="preserve">Data Exploration and Preprocessing Template</w:t>
      </w:r>
      <w:r/>
    </w:p>
    <w:p w14:paraId="3B36747B">
      <w:pPr>
        <w:pBdr>
          <w:top w:val="none" w:color="000000" w:sz="4" w:space="0"/>
          <w:left w:val="none" w:color="000000" w:sz="4" w:space="0"/>
          <w:bottom w:val="none" w:color="000000" w:sz="4" w:space="0"/>
          <w:right w:val="none" w:color="000000" w:sz="4" w:space="0"/>
        </w:pBdr>
        <w:spacing w:after="160" w:before="0" w:line="311" w:lineRule="auto"/>
        <w:ind w:right="0" w:firstLine="0" w:left="0"/>
        <w:rPr/>
      </w:pPr>
      <w:r>
        <w:rPr>
          <w:rFonts w:ascii="Times New Roman" w:hAnsi="Times New Roman" w:eastAsia="Times New Roman" w:cs="Times New Roman"/>
          <w:color w:val="000000"/>
          <w:sz w:val="24"/>
          <w:u w:val="none"/>
        </w:rPr>
        <w:t xml:space="preserve">Identifies data sources, assesses quality issues like missing values and duplicates, and implements resolution plans to ensure accurate and reliable analysis.</w:t>
      </w:r>
      <w:r/>
    </w:p>
    <w:p w14:paraId="2A8D4DF4">
      <w:pPr>
        <w:pBdr>
          <w:top w:val="none" w:color="000000" w:sz="4" w:space="0"/>
          <w:left w:val="none" w:color="000000" w:sz="4" w:space="0"/>
          <w:bottom w:val="none" w:color="000000" w:sz="4" w:space="0"/>
          <w:right w:val="none" w:color="000000" w:sz="4" w:space="0"/>
        </w:pBdr>
        <w:spacing/>
        <w:ind w:right="0" w:firstLine="0" w:left="0"/>
        <w:rPr/>
      </w:pPr>
      <w:r>
        <w:rPr>
          <w:sz w:val="24"/>
        </w:rPr>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38"/>
        <w:gridCol w:w="6298"/>
      </w:tblGrid>
      <w:tr>
        <w:trPr>
          <w:trHeight w:val="465"/>
        </w:trPr>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638" w:type="dxa"/>
            <w:vAlign w:val="bottom"/>
          </w:tcPr>
          <w:p w14:paraId="550C4CCB">
            <w:pPr>
              <w:pBdr>
                <w:top w:val="none" w:color="000000" w:sz="4" w:space="0"/>
                <w:left w:val="none" w:color="000000" w:sz="4" w:space="0"/>
                <w:bottom w:val="none" w:color="000000" w:sz="4" w:space="0"/>
                <w:right w:val="none" w:color="000000" w:sz="4" w:space="0"/>
              </w:pBdr>
              <w:shd w:val="clear" w:color="ffffff" w:fill="ffffff"/>
              <w:spacing w:after="0" w:before="0" w:line="288" w:lineRule="auto"/>
              <w:ind w:right="0" w:firstLine="0" w:left="0"/>
              <w:jc w:val="both"/>
              <w:rPr>
                <w:rFonts w:ascii="Times New Roman" w:hAnsi="Times New Roman" w:cs="Times New Roman"/>
                <w:szCs w:val="24"/>
              </w:rPr>
            </w:pPr>
            <w:r>
              <w:rPr>
                <w:rFonts w:ascii="Times New Roman" w:hAnsi="Times New Roman" w:eastAsia="Times New Roman" w:cs="Times New Roman"/>
                <w:b/>
                <w:color w:val="000000"/>
                <w:sz w:val="24"/>
                <w:szCs w:val="24"/>
                <w:u w:val="none"/>
              </w:rPr>
              <w:t xml:space="preserve">Section</w:t>
            </w:r>
            <w:r>
              <w:rPr>
                <w:rFonts w:ascii="Times New Roman" w:hAnsi="Times New Roman" w:eastAsia="Times New Roman" w:cs="Times New Roman"/>
                <w:sz w:val="24"/>
                <w:szCs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6298" w:type="dxa"/>
            <w:vAlign w:val="bottom"/>
          </w:tcPr>
          <w:p w14:paraId="3317F9C7">
            <w:pPr>
              <w:pBdr>
                <w:top w:val="none" w:color="000000" w:sz="4" w:space="0"/>
                <w:left w:val="none" w:color="000000" w:sz="4" w:space="0"/>
                <w:bottom w:val="none" w:color="000000" w:sz="4" w:space="0"/>
                <w:right w:val="none" w:color="000000" w:sz="4" w:space="0"/>
              </w:pBdr>
              <w:shd w:val="clear" w:color="ffffff" w:fill="ffffff"/>
              <w:spacing w:after="0" w:before="0" w:line="288" w:lineRule="auto"/>
              <w:ind w:right="0" w:firstLine="0" w:left="0"/>
              <w:jc w:val="both"/>
              <w:rPr>
                <w:rFonts w:ascii="Times New Roman" w:hAnsi="Times New Roman" w:cs="Times New Roman"/>
                <w:szCs w:val="24"/>
              </w:rPr>
            </w:pPr>
            <w:r>
              <w:rPr>
                <w:rFonts w:ascii="Times New Roman" w:hAnsi="Times New Roman" w:eastAsia="Times New Roman" w:cs="Times New Roman"/>
                <w:b/>
                <w:color w:val="000000"/>
                <w:sz w:val="24"/>
                <w:szCs w:val="24"/>
                <w:u w:val="none"/>
              </w:rPr>
              <w:t xml:space="preserve">Description</w:t>
            </w:r>
            <w:r>
              <w:rPr>
                <w:rFonts w:ascii="Times New Roman" w:hAnsi="Times New Roman" w:eastAsia="Times New Roman" w:cs="Times New Roman"/>
                <w:sz w:val="24"/>
                <w:szCs w:val="24"/>
              </w:rPr>
            </w:r>
          </w:p>
        </w:tc>
      </w:tr>
      <w:tr>
        <w:trPr>
          <w:trHeight w:val="695"/>
        </w:trPr>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638" w:type="dxa"/>
            <w:vAlign w:val="center"/>
          </w:tcPr>
          <w:p w14:paraId="2F2B6B7D">
            <w:pPr>
              <w:pBdr>
                <w:top w:val="none" w:color="000000" w:sz="4" w:space="0"/>
                <w:left w:val="none" w:color="000000" w:sz="4" w:space="0"/>
                <w:bottom w:val="none" w:color="000000" w:sz="4" w:space="0"/>
                <w:right w:val="none" w:color="000000" w:sz="4" w:space="0"/>
              </w:pBdr>
              <w:spacing w:after="0" w:before="0" w:line="288"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u w:val="none"/>
              </w:rPr>
              <w:t xml:space="preserve">Data Overview</w:t>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6298" w:type="dxa"/>
            <w:vAlign w:val="center"/>
          </w:tcPr>
          <w:p w14:paraId="5A4B2271">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A comprehensive global dataset containing AI adoption statistics in education across multiple countries from 2015 onwards. The dataset includes temporal information (Year, Month), geographical details (Country, Region), AI usage by students and teachers, s</w:t>
            </w:r>
            <w:r>
              <w:rPr>
                <w:rFonts w:ascii="Times New Roman" w:hAnsi="Times New Roman" w:eastAsia="Times New Roman" w:cs="Times New Roman"/>
                <w:sz w:val="24"/>
                <w:szCs w:val="24"/>
              </w:rPr>
              <w:t xml:space="preserve">chool AI adoption rates, average daily AI usage, top AI tools, internet penetration, education index, government AI policy, urban and rural AI usage, AI curriculum implementation, and gender gap in AI usage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695"/>
        </w:trPr>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638" w:type="dxa"/>
            <w:vAlign w:val="center"/>
          </w:tcPr>
          <w:p w14:paraId="65829E46">
            <w:pPr>
              <w:pBdr>
                <w:top w:val="none" w:color="000000" w:sz="4" w:space="0"/>
                <w:left w:val="none" w:color="000000" w:sz="4" w:space="0"/>
                <w:bottom w:val="none" w:color="000000" w:sz="4" w:space="0"/>
                <w:right w:val="none" w:color="000000" w:sz="4" w:space="0"/>
              </w:pBdr>
              <w:spacing w:after="0" w:before="0" w:line="288"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u w:val="none"/>
              </w:rPr>
              <w:t xml:space="preserve">Data Cleaning</w:t>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6298" w:type="dxa"/>
            <w:vAlign w:val="center"/>
          </w:tcPr>
          <w:p w14:paraId="34999E99">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b/>
                <w:color w:val="000000"/>
                <w:sz w:val="24"/>
                <w:szCs w:val="24"/>
              </w:rPr>
              <w:t xml:space="preserve">Duplicates:</w:t>
            </w:r>
            <w:r>
              <w:rPr>
                <w:rFonts w:ascii="Times New Roman" w:hAnsi="Times New Roman" w:eastAsia="Times New Roman" w:cs="Times New Roman"/>
                <w:color w:val="000000"/>
                <w:sz w:val="24"/>
                <w:szCs w:val="24"/>
              </w:rPr>
              <w:t xml:space="preserve"> Removed duplicate records based on Year, Month, and Country to ensure unique observations.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695"/>
        </w:trPr>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638" w:type="dxa"/>
            <w:vAlign w:val="center"/>
          </w:tcPr>
          <w:p w14:paraId="72BD9F98">
            <w:pPr>
              <w:pBdr>
                <w:top w:val="none" w:color="000000" w:sz="4" w:space="0"/>
                <w:left w:val="none" w:color="000000" w:sz="4" w:space="0"/>
                <w:bottom w:val="none" w:color="000000" w:sz="4" w:space="0"/>
                <w:right w:val="none" w:color="000000" w:sz="4" w:space="0"/>
              </w:pBdr>
              <w:spacing w:after="0" w:before="0" w:line="288"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u w:val="none"/>
              </w:rPr>
              <w:t xml:space="preserve">Data Transformation</w:t>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6298" w:type="dxa"/>
            <w:vAlign w:val="center"/>
          </w:tcPr>
          <w:p w14:paraId="091936FC">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b/>
                <w:color w:val="000000"/>
                <w:sz w:val="24"/>
                <w:szCs w:val="24"/>
              </w:rPr>
              <w:t xml:space="preserve">Calculated Fields:</w:t>
            </w:r>
            <w:r>
              <w:rPr>
                <w:rFonts w:ascii="Times New Roman" w:hAnsi="Times New Roman" w:eastAsia="Times New Roman" w:cs="Times New Roman"/>
                <w:color w:val="000000"/>
                <w:sz w:val="24"/>
                <w:szCs w:val="24"/>
              </w:rPr>
              <w:t xml:space="preserve"> Created </w:t>
            </w:r>
            <w:r>
              <w:rPr>
                <w:rFonts w:ascii="Times New Roman" w:hAnsi="Times New Roman" w:eastAsia="Times New Roman" w:cs="Times New Roman"/>
                <w:color w:val="000000"/>
                <w:sz w:val="24"/>
                <w:szCs w:val="24"/>
                <w:lang w:val="en-US"/>
              </w:rPr>
              <w:t xml:space="preserve">calculated measures such as </w:t>
            </w:r>
            <w:r>
              <w:rPr>
                <w:rFonts w:ascii="Times New Roman" w:hAnsi="Times New Roman" w:eastAsia="Times New Roman" w:cs="Times New Roman"/>
                <w:color w:val="000000"/>
                <w:sz w:val="24"/>
                <w:szCs w:val="24"/>
                <w:lang w:val="en-US"/>
              </w:rPr>
              <w:t xml:space="preserve">overall adaption, policy score, record count, total Ai usage, urban rural differences</w:t>
            </w:r>
            <w:r>
              <w:rPr>
                <w:rFonts w:ascii="Times New Roman" w:hAnsi="Times New Roman" w:eastAsia="Times New Roman" w:cs="Times New Roman"/>
                <w:sz w:val="24"/>
                <w:szCs w:val="24"/>
              </w:rPr>
            </w:r>
          </w:p>
        </w:tc>
      </w:tr>
      <w:tr>
        <w:trPr>
          <w:trHeight w:val="695"/>
        </w:trPr>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638" w:type="dxa"/>
            <w:vAlign w:val="center"/>
          </w:tcPr>
          <w:p w14:paraId="3E7A0DFD">
            <w:pPr>
              <w:pBdr>
                <w:top w:val="none" w:color="000000" w:sz="4" w:space="0"/>
                <w:left w:val="none" w:color="000000" w:sz="4" w:space="0"/>
                <w:bottom w:val="none" w:color="000000" w:sz="4" w:space="0"/>
                <w:right w:val="none" w:color="000000" w:sz="4" w:space="0"/>
              </w:pBdr>
              <w:spacing w:after="0" w:before="0" w:line="288"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u w:val="none"/>
              </w:rPr>
              <w:t xml:space="preserve">Data Type Conversion</w:t>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6298" w:type="dxa"/>
            <w:vAlign w:val="center"/>
          </w:tcPr>
          <w:p w14:paraId="1281D717">
            <w:pPr>
              <w:pBdr/>
              <w:spacing/>
              <w:ind/>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color w:val="000000"/>
                <w:sz w:val="24"/>
                <w:szCs w:val="24"/>
              </w:rPr>
              <w:t xml:space="preserve">Ensured </w:t>
            </w:r>
            <w:r>
              <w:rPr>
                <w:rFonts w:ascii="Times New Roman" w:hAnsi="Times New Roman" w:eastAsia="Times New Roman" w:cs="Times New Roman"/>
                <w:b w:val="0"/>
                <w:bCs w:val="0"/>
                <w:color w:val="000000"/>
                <w:sz w:val="24"/>
                <w:szCs w:val="24"/>
              </w:rPr>
              <w:t xml:space="preserve">Year</w:t>
            </w:r>
            <w:r>
              <w:rPr>
                <w:rFonts w:ascii="Times New Roman" w:hAnsi="Times New Roman" w:eastAsia="Times New Roman" w:cs="Times New Roman"/>
                <w:b w:val="0"/>
                <w:bCs w:val="0"/>
                <w:color w:val="000000"/>
                <w:sz w:val="24"/>
                <w:szCs w:val="24"/>
              </w:rPr>
              <w:t xml:space="preserve"> is stored as an integer, </w:t>
            </w:r>
            <w:r>
              <w:rPr>
                <w:rFonts w:ascii="Times New Roman" w:hAnsi="Times New Roman" w:eastAsia="Times New Roman" w:cs="Times New Roman"/>
                <w:b w:val="0"/>
                <w:bCs w:val="0"/>
                <w:color w:val="000000"/>
                <w:sz w:val="24"/>
                <w:szCs w:val="24"/>
              </w:rPr>
              <w:t xml:space="preserve">Month, Country, Region, Top AI Tool, Government AI Policy, and AI in Curriculum</w:t>
            </w:r>
            <w:r>
              <w:rPr>
                <w:rFonts w:ascii="Times New Roman" w:hAnsi="Times New Roman" w:eastAsia="Times New Roman" w:cs="Times New Roman"/>
                <w:b w:val="0"/>
                <w:bCs w:val="0"/>
                <w:color w:val="000000"/>
                <w:sz w:val="24"/>
                <w:szCs w:val="24"/>
              </w:rPr>
              <w:t xml:space="preserve"> a</w:t>
            </w:r>
            <w:r>
              <w:rPr>
                <w:rFonts w:ascii="Times New Roman" w:hAnsi="Times New Roman" w:eastAsia="Times New Roman" w:cs="Times New Roman"/>
                <w:color w:val="000000"/>
                <w:sz w:val="24"/>
                <w:szCs w:val="24"/>
              </w:rPr>
              <w:t xml:space="preserve">s text, while AI usage percentages, Internet Penetration, Education Index, Average Daily AI Usage, and Gender Gap are stored as numeric values for accurate analysis in Tableau.</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695"/>
        </w:trPr>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2638" w:type="dxa"/>
            <w:vAlign w:val="center"/>
          </w:tcPr>
          <w:p w14:paraId="3A1728DE">
            <w:pPr>
              <w:pBdr>
                <w:top w:val="none" w:color="000000" w:sz="4" w:space="0"/>
                <w:left w:val="none" w:color="000000" w:sz="4" w:space="0"/>
                <w:bottom w:val="none" w:color="000000" w:sz="4" w:space="0"/>
                <w:right w:val="none" w:color="000000" w:sz="4" w:space="0"/>
              </w:pBdr>
              <w:spacing w:after="0" w:before="0" w:line="288"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u w:val="none"/>
              </w:rPr>
              <w:t xml:space="preserve">Save Processed Data</w:t>
            </w:r>
            <w:r>
              <w:rPr>
                <w:rFonts w:ascii="Times New Roman" w:hAnsi="Times New Roman" w:eastAsia="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00" w:type="dxa"/>
              <w:top w:w="100" w:type="dxa"/>
              <w:right w:w="100" w:type="dxa"/>
              <w:bottom w:w="100" w:type="dxa"/>
            </w:tcMar>
            <w:tcW w:w="6298" w:type="dxa"/>
            <w:vAlign w:val="center"/>
          </w:tcPr>
          <w:p w14:paraId="11E694F2">
            <w:pPr>
              <w:pBdr>
                <w:top w:val="none" w:color="000000" w:sz="4" w:space="0"/>
                <w:left w:val="none" w:color="000000" w:sz="4" w:space="0"/>
                <w:bottom w:val="none" w:color="000000" w:sz="4" w:space="0"/>
                <w:right w:val="none" w:color="000000" w:sz="4" w:space="0"/>
              </w:pBdr>
              <w:spacing w:after="0" w:before="0" w:line="288"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u w:val="none"/>
              </w:rPr>
              <w:t xml:space="preserve">Exported the fully standardized dataset from raw system states into a permanently structured Excel file extension format, explicitly adjusting column widths to ensure complete field visibility before transferring to visualization platforms.</w:t>
            </w:r>
            <w:r>
              <w:rPr>
                <w:rFonts w:ascii="Times New Roman" w:hAnsi="Times New Roman" w:eastAsia="Times New Roman" w:cs="Times New Roman"/>
                <w:sz w:val="24"/>
                <w:szCs w:val="24"/>
              </w:rPr>
            </w:r>
          </w:p>
        </w:tc>
      </w:tr>
    </w:tbl>
    <w:p>
      <w:pPr>
        <w:pBdr/>
        <w:spacing/>
        <w:ind/>
        <w:rPr/>
      </w:pPr>
      <w:r/>
      <w:r/>
    </w:p>
    <w:sectPr>
      <w:footnotePr/>
      <w:endnotePr/>
      <w:type w:val="nextPage"/>
      <w:pgSz w:h="16838" w:orient="portrait" w:w="11906"/>
      <w:pgMar w:top="425"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2026-07-22T07:51:56Z</dcterms:modified>
</cp:coreProperties>
</file>