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366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1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Data Collection and Preprocessing Phase</w:t>
      </w:r>
      <w:r/>
    </w:p>
    <w:p w14:paraId="1F69B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68"/>
        <w:gridCol w:w="4468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468" w:type="dxa"/>
            <w:vAlign w:val="top"/>
          </w:tcPr>
          <w:p w14:paraId="2CB05D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Date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468" w:type="dxa"/>
            <w:vAlign w:val="top"/>
          </w:tcPr>
          <w:p w14:paraId="65314E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July 2026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468" w:type="dxa"/>
            <w:vAlign w:val="top"/>
          </w:tcPr>
          <w:p w14:paraId="210C2C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Project Title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468" w:type="dxa"/>
            <w:vAlign w:val="top"/>
          </w:tcPr>
          <w:p w14:paraId="66A751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Global Ai in Education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468" w:type="dxa"/>
            <w:vAlign w:val="top"/>
          </w:tcPr>
          <w:p w14:paraId="7E0E3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Maximum Marks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468" w:type="dxa"/>
            <w:vAlign w:val="top"/>
          </w:tcPr>
          <w:p w14:paraId="238BAB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3 Marks</w:t>
            </w:r>
            <w:r/>
          </w:p>
        </w:tc>
      </w:tr>
    </w:tbl>
    <w:p w14:paraId="4332D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07C99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Data Quality Report Template</w:t>
      </w:r>
      <w:r/>
    </w:p>
    <w:p w14:paraId="57F76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  <w:r/>
    </w:p>
    <w:tbl>
      <w:tblPr>
        <w:tblStyle w:val="12"/>
        <w:tblInd w:w="-284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62"/>
        <w:gridCol w:w="3208"/>
        <w:gridCol w:w="1120"/>
        <w:gridCol w:w="3238"/>
      </w:tblGrid>
      <w:tr>
        <w:trPr>
          <w:trHeight w:val="10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62" w:type="dxa"/>
            <w:vAlign w:val="bottom"/>
          </w:tcPr>
          <w:p w14:paraId="114C90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Data Source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208" w:type="dxa"/>
            <w:vAlign w:val="bottom"/>
          </w:tcPr>
          <w:p w14:paraId="2D795B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Data Quality Issue 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120" w:type="dxa"/>
            <w:vAlign w:val="bottom"/>
          </w:tcPr>
          <w:p w14:paraId="063B35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Severity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238" w:type="dxa"/>
            <w:vAlign w:val="bottom"/>
          </w:tcPr>
          <w:p w14:paraId="2C9B55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Resolution Plan</w:t>
            </w:r>
            <w:r/>
          </w:p>
        </w:tc>
      </w:tr>
      <w:tr>
        <w:trPr>
          <w:trHeight w:val="10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62" w:type="dxa"/>
            <w:vAlign w:val="center"/>
          </w:tcPr>
          <w:p w14:paraId="3DD30D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Global AI in Education Dataset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208" w:type="dxa"/>
            <w:vAlign w:val="center"/>
          </w:tcPr>
          <w:p w14:paraId="30F0BFE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Inconsistent text formatting in categorical fields such as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Country, Region, Top AI Tool, Government AI Policy, and AI in Curriculum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due to extra spaces or inconsistent capitalization.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120" w:type="dxa"/>
            <w:vAlign w:val="center"/>
          </w:tcPr>
          <w:p w14:paraId="78DE01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Moderate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238" w:type="dxa"/>
            <w:vAlign w:val="center"/>
          </w:tcPr>
          <w:p w14:paraId="2E4CCBE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Trimmed leading/trailing spaces, removed duplicate spaces, and standardized text formatting (Title Case) to ensure consistent values for analysis and Tableau visualization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10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62" w:type="dxa"/>
            <w:vAlign w:val="center"/>
            <w:vMerge w:val="restart"/>
          </w:tcPr>
          <w:p w14:paraId="2887CD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Global AI in Education Dataset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208" w:type="dxa"/>
            <w:vAlign w:val="center"/>
            <w:vMerge w:val="restart"/>
          </w:tcPr>
          <w:p w14:paraId="4D5B944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Duplicate records for the same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Year–Month–Country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combination.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120" w:type="dxa"/>
            <w:vAlign w:val="center"/>
            <w:vMerge w:val="restart"/>
          </w:tcPr>
          <w:p w14:paraId="3FD4EE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Moderate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3C7083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60" w:before="0" w:line="493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238" w:type="dxa"/>
            <w:vAlign w:val="center"/>
            <w:vMerge w:val="restart"/>
          </w:tcPr>
          <w:p w14:paraId="3A833D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Checked for duplicate entries and removed redundant records to maintain unique observations.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567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2026-07-22T08:12:42Z</dcterms:modified>
</cp:coreProperties>
</file>