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92BC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 w:line="311" w:lineRule="auto"/>
        <w:ind w:right="0" w:firstLine="0" w:left="0"/>
        <w:jc w:val="center"/>
        <w:rPr/>
      </w:pPr>
      <w:r>
        <w:rPr>
          <w:rFonts w:ascii="Cambria" w:hAnsi="Cambria" w:eastAsia="Cambria" w:cs="Cambria"/>
          <w:b/>
          <w:color w:val="000000"/>
          <w:sz w:val="32"/>
          <w:u w:val="none"/>
        </w:rPr>
        <w:t xml:space="preserve">Business Question and Visualization Report</w:t>
      </w:r>
      <w:r/>
    </w:p>
    <w:p w14:paraId="5339C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287"/>
        <w:gridCol w:w="4617"/>
      </w:tblGrid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287" w:type="dxa"/>
            <w:vAlign w:val="top"/>
          </w:tcPr>
          <w:p w14:paraId="692DDD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Date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17" w:type="dxa"/>
            <w:vAlign w:val="top"/>
          </w:tcPr>
          <w:p w14:paraId="12FD08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  <w:lang w:val="en-US"/>
              </w:rPr>
              <w:t xml:space="preserve">25</w:t>
            </w: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 July 2026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287" w:type="dxa"/>
            <w:vAlign w:val="top"/>
          </w:tcPr>
          <w:p w14:paraId="1222CD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Project 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17" w:type="dxa"/>
            <w:vAlign w:val="top"/>
          </w:tcPr>
          <w:p w14:paraId="2BF936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  <w:lang w:val="en-US"/>
              </w:rPr>
              <w:t xml:space="preserve">Global Ai in Education</w:t>
            </w:r>
            <w:r/>
          </w:p>
        </w:tc>
      </w:tr>
      <w:tr>
        <w:trPr>
          <w:trHeight w:val="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287" w:type="dxa"/>
            <w:vAlign w:val="top"/>
          </w:tcPr>
          <w:p w14:paraId="5AE2E5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Maximum Marks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17" w:type="dxa"/>
            <w:vAlign w:val="top"/>
          </w:tcPr>
          <w:p w14:paraId="2C09CB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88" w:lineRule="auto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5 Marks</w:t>
            </w:r>
            <w:r/>
          </w:p>
        </w:tc>
      </w:tr>
    </w:tbl>
    <w:p w14:paraId="47F30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sz w:val="24"/>
        </w:rPr>
      </w:r>
      <w:r/>
    </w:p>
    <w:p w14:paraId="5879FC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88" w:lineRule="auto"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none"/>
        </w:rPr>
        <w:t xml:space="preserve">Business Questions and Visualizations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6F2984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Q1: What are the overall AI adoption and usage metrics across the education ecosystem?</w:t>
      </w:r>
      <w:r/>
    </w:p>
    <w:p w14:paraId="2EFBB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KPI Dashboard displaying key indicators such as School AI Adoption, Student AI Usage, Teacher AI Usage, Urban AI Usage, and other summary metrics.</w:t>
      </w:r>
      <w:r/>
    </w:p>
    <w:p w14:paraId="7C42C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 Provided: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Provides a comprehensive snapshot of the current AI landscape in education, allowing decision-makers to quickly monitor performance, compare key metrics, and evaluate overall progress in AI adoption.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 w14:paraId="200BE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B7E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567" w:left="-425"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-630000</wp:posOffset>
                </wp:positionH>
                <wp:positionV relativeFrom="paragraph">
                  <wp:posOffset>0</wp:posOffset>
                </wp:positionV>
                <wp:extent cx="6608865" cy="3571118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74102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608864" cy="35711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0240;o:allowoverlap:true;o:allowincell:true;mso-position-horizontal-relative:text;margin-left:-49.61pt;mso-position-horizontal:absolute;mso-position-vertical-relative:text;margin-top:0.00pt;mso-position-vertical:absolute;width:520.38pt;height:281.19pt;mso-wrap-distance-left:9.07pt;mso-wrap-distance-top:0.00pt;mso-wrap-distance-right:9.07pt;mso-wrap-distance-bottom:0.00pt;z-index:1;" stroked="false">
                <w10:wrap type="topAndBottom"/>
                <v:imagedata r:id="rId9" o:title=""/>
                <o:lock v:ext="edit" rotation="t"/>
              </v:shape>
            </w:pict>
          </mc:Fallback>
        </mc:AlternateContent>
      </w:r>
      <w:r/>
      <w:r/>
      <w:r>
        <w:rPr>
          <w:rFonts w:ascii="Cambria" w:hAnsi="Cambria" w:eastAsia="Cambria" w:cs="Cambria"/>
          <w:color w:val="000000"/>
          <w:sz w:val="24"/>
          <w:u w:val="none"/>
        </w:rPr>
      </w:r>
      <w:r/>
      <w:r>
        <w:rPr>
          <w:rFonts w:ascii="Cambria" w:hAnsi="Cambria" w:eastAsia="Cambria" w:cs="Cambria"/>
          <w:color w:val="000000"/>
          <w:sz w:val="24"/>
          <w:u w:val="none"/>
        </w:rPr>
      </w:r>
      <w:r/>
      <w:r>
        <w:rPr>
          <w:highlight w:val="none"/>
        </w:rPr>
      </w:r>
    </w:p>
    <w:p w14:paraId="0840B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288" w:lineRule="auto"/>
        <w:ind w:right="600" w:firstLine="0" w:left="600"/>
        <w:rPr/>
      </w:pPr>
      <w:r>
        <w:rPr>
          <w:sz w:val="24"/>
        </w:rPr>
      </w:r>
      <w:r/>
    </w:p>
    <w:p w14:paraId="66D9CF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: How does student AI usage change throughout the year?</w:t>
      </w:r>
      <w:r/>
    </w:p>
    <w:p w14:paraId="4C055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Line Chart illustrating monthly trends in student AI usage.</w:t>
      </w:r>
      <w:r/>
    </w:p>
    <w:p w14:paraId="24C63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 Provided: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Reveals seasonal fluctuations in AI usage, helping educators and institutions understand peak usage periods and optimize AI-driven learning initiatives accordingly.</w:t>
      </w:r>
      <w:r/>
    </w:p>
    <w:p w14:paraId="30EDE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88" w:lineRule="auto"/>
        <w:ind w:right="0" w:hanging="1134" w:left="709"/>
        <w:rPr/>
      </w:pPr>
      <w:r>
        <w:rPr>
          <w:rFonts w:ascii="Cambria" w:hAnsi="Cambria" w:eastAsia="Cambria" w:cs="Cambria"/>
          <w:color w:val="000000"/>
          <w:sz w:val="24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4121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1586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641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86.7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color w:val="000000"/>
          <w:sz w:val="24"/>
          <w:u w:val="none"/>
        </w:rPr>
      </w:r>
      <w:r/>
    </w:p>
    <w:p w14:paraId="2B16A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288" w:lineRule="auto"/>
        <w:ind w:right="0" w:firstLine="0" w:left="720"/>
        <w:rPr/>
      </w:pPr>
      <w:r>
        <w:rPr>
          <w:sz w:val="24"/>
        </w:rPr>
      </w:r>
      <w:r/>
    </w:p>
    <w:p w14:paraId="06C071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: How does student AI usage differ across various geographic regions?</w:t>
      </w:r>
      <w:r/>
    </w:p>
    <w:p w14:paraId="31AA4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Horizontal Bar Chart comparing average student AI usage across different regions.</w:t>
      </w:r>
      <w:r/>
    </w:p>
    <w:p w14:paraId="1174F3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 Provided: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Highlights regional differences in AI adoption among students, helping educational organizations identify high-performing regions and areas requiring additional AI awareness and resources.</w:t>
      </w:r>
      <w:r>
        <w:rPr>
          <w:rFonts w:ascii="Times New Roman" w:hAnsi="Times New Roman" w:eastAsia="Times New Roman" w:cs="Times New Roman"/>
          <w:sz w:val="24"/>
        </w:rPr>
      </w:r>
    </w:p>
    <w:p w14:paraId="77DD9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2950B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88" w:lineRule="auto"/>
        <w:ind w:right="0" w:hanging="1134" w:left="709"/>
        <w:rPr/>
      </w:pPr>
      <w:r>
        <w:rPr>
          <w:rFonts w:ascii="Cambria" w:hAnsi="Cambria" w:eastAsia="Cambria" w:cs="Cambria"/>
          <w:color w:val="000000"/>
          <w:sz w:val="24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211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2406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121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45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color w:val="000000"/>
          <w:sz w:val="24"/>
          <w:u w:val="none"/>
        </w:rPr>
      </w:r>
      <w:r/>
    </w:p>
    <w:p w14:paraId="67D32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288" w:lineRule="auto"/>
        <w:ind w:right="0" w:firstLine="0" w:left="720"/>
        <w:rPr/>
      </w:pPr>
      <w:r>
        <w:rPr>
          <w:sz w:val="24"/>
        </w:rPr>
      </w:r>
      <w:r/>
    </w:p>
    <w:p w14:paraId="2731D4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288" w:lineRule="auto"/>
        <w:ind w:right="600" w:firstLine="0" w:left="600"/>
        <w:rPr/>
      </w:pPr>
      <w:r>
        <w:rPr>
          <w:sz w:val="24"/>
        </w:rPr>
      </w:r>
      <w:r/>
    </w:p>
    <w:p w14:paraId="3840E2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4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: Which countries have achieved the highest levels of school AI adoption?</w:t>
      </w:r>
      <w:r/>
    </w:p>
    <w:p w14:paraId="282CF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Filled World Map displaying school AI adoption rates across countries using colour intensity.</w:t>
      </w:r>
      <w:r/>
    </w:p>
    <w:p w14:paraId="63D31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 Provided: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Identifies countries leading in AI integration within schools while highlighting regions with lower adoption, supporting policymakers in planning targeted educational technology investments.</w:t>
      </w:r>
      <w:r/>
      <w:r>
        <w:rPr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p w14:paraId="6FF4C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40" w:line="288" w:lineRule="auto"/>
        <w:ind w:right="600" w:firstLine="0" w:left="600"/>
        <w:rPr/>
      </w:pPr>
      <w:r>
        <w:rPr>
          <w:sz w:val="24"/>
        </w:rPr>
      </w:r>
      <w:r/>
    </w:p>
    <w:p w14:paraId="03640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88" w:lineRule="auto"/>
        <w:ind w:right="600" w:hanging="1025" w:left="600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0774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7032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10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44.7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sz w:val="24"/>
        </w:rPr>
      </w:r>
    </w:p>
    <w:p w14:paraId="552ABB6A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0" w:before="240" w:line="288" w:lineRule="auto"/>
        <w:ind w:right="0" w:firstLine="0" w:left="0"/>
        <w:rPr>
          <w:sz w:val="24"/>
          <w:szCs w:val="24"/>
        </w:rPr>
      </w:pPr>
      <w:r>
        <w:rPr>
          <w:rFonts w:ascii="Cambria" w:hAnsi="Cambria" w:eastAsia="Cambria" w:cs="Cambria"/>
          <w:b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b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b/>
          <w:color w:val="000000"/>
          <w:sz w:val="22"/>
          <w:highlight w:val="none"/>
          <w:u w:val="none"/>
        </w:rPr>
      </w:r>
    </w:p>
    <w:p w14:paraId="11C0D286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0" w:before="240" w:line="288" w:lineRule="auto"/>
        <w:ind w:right="0" w:firstLine="0" w:left="0"/>
        <w:rPr>
          <w:rFonts w:ascii="Cambria" w:hAnsi="Cambria" w:eastAsia="Cambria" w:cs="Cambria"/>
          <w:b/>
          <w:bCs/>
          <w:color w:val="000000"/>
          <w:sz w:val="22"/>
          <w:szCs w:val="22"/>
          <w:highlight w:val="none"/>
          <w:u w:val="none"/>
        </w:rPr>
      </w:pPr>
      <w:r>
        <w:rPr>
          <w:rFonts w:ascii="Cambria" w:hAnsi="Cambria" w:eastAsia="Cambria" w:cs="Cambria"/>
          <w:b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b/>
          <w:color w:val="000000"/>
          <w:sz w:val="22"/>
          <w:highlight w:val="none"/>
          <w:u w:val="none"/>
        </w:rPr>
      </w:r>
      <w:r>
        <w:rPr>
          <w:rFonts w:ascii="Cambria" w:hAnsi="Cambria" w:eastAsia="Cambria" w:cs="Cambria"/>
          <w:b/>
          <w:color w:val="000000"/>
          <w:sz w:val="22"/>
          <w:highlight w:val="none"/>
          <w:u w:val="none"/>
        </w:rPr>
      </w:r>
    </w:p>
    <w:p w14:paraId="2E38A0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: How has overall AI adoption in education evolved over the years?</w:t>
      </w:r>
      <w:r/>
    </w:p>
    <w:p w14:paraId="34A92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 Area Chart displaying the trend of overall AI adoption across multiple years, with the X-axis representing years and the Y-axis representing AI adoption percentage.</w:t>
      </w:r>
      <w:r/>
    </w:p>
    <w:p w14:paraId="25C96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 Provided: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Highlights the growth pattern of AI adoption over time, helping policymakers and educational institutions understand whether AI implementation is accelerating and identify periods of significant growth.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758493</wp:posOffset>
                </wp:positionV>
                <wp:extent cx="5315415" cy="2905125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4543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315414" cy="2905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0480;o:allowoverlap:true;o:allowincell:true;mso-position-horizontal-relative:text;margin-left:0.00pt;mso-position-horizontal:absolute;mso-position-vertical-relative:text;margin-top:59.72pt;mso-position-vertical:absolute;width:418.54pt;height:228.75pt;mso-wrap-distance-left:9.07pt;mso-wrap-distance-top:0.00pt;mso-wrap-distance-right:9.07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27241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88" w:lineRule="auto"/>
        <w:ind w:right="0" w:firstLine="0" w:left="709"/>
        <w:rPr/>
      </w:pPr>
      <w:r>
        <w:rPr>
          <w:rFonts w:ascii="Cambria" w:hAnsi="Cambria" w:eastAsia="Cambria" w:cs="Cambria"/>
          <w:b/>
          <w:color w:val="000000"/>
          <w:sz w:val="24"/>
          <w:u w:val="none"/>
        </w:rPr>
      </w:r>
      <w:r/>
      <w:r>
        <w:rPr>
          <w:rFonts w:ascii="Cambria" w:hAnsi="Cambria" w:eastAsia="Cambria" w:cs="Cambria"/>
          <w:b/>
          <w:color w:val="000000"/>
          <w:sz w:val="24"/>
          <w:u w:val="none"/>
        </w:rPr>
      </w:r>
      <w:r/>
    </w:p>
    <w:p w14:paraId="0A8F47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40" w:line="288" w:lineRule="auto"/>
        <w:ind w:right="0" w:hanging="425" w:left="0"/>
        <w:rPr>
          <w:highlight w:val="none"/>
        </w:rPr>
      </w:pPr>
      <w:r/>
      <w:r/>
      <w:r/>
      <w:r>
        <w:rPr>
          <w:sz w:val="24"/>
        </w:rPr>
      </w:r>
    </w:p>
    <w:p w14:paraId="73959C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40" w:line="288" w:lineRule="auto"/>
        <w:ind w:right="0" w:hanging="425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AB85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40" w:line="288" w:lineRule="auto"/>
        <w:ind w:right="0" w:hanging="425" w:left="0"/>
        <w:rPr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E98E3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: How does AI usage compare between students and teachers across different countries?</w:t>
      </w:r>
      <w:r/>
    </w:p>
    <w:p w14:paraId="520FE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Side-by-Side Grouped Bar Chart comparing average AI usage by students and teachers for each country.</w:t>
      </w:r>
      <w:r/>
    </w:p>
    <w:p w14:paraId="31BAD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 Provided: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Highlights adoption gaps between educators and learners, helping policymakers and institutions identify where teacher training and AI integration programs should be strengthened.</w:t>
      </w:r>
      <w:r>
        <w:rPr>
          <w:rFonts w:ascii="Times New Roman" w:hAnsi="Times New Roman" w:eastAsia="Times New Roman" w:cs="Times New Roman"/>
          <w:sz w:val="24"/>
        </w:rPr>
      </w:r>
    </w:p>
    <w:p w14:paraId="403CE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4F33E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88" w:lineRule="auto"/>
        <w:ind w:right="0" w:hanging="1134" w:left="709"/>
        <w:rPr/>
      </w:pPr>
      <w:r>
        <w:rPr>
          <w:rFonts w:ascii="Cambria" w:hAnsi="Cambria" w:eastAsia="Cambria" w:cs="Cambria"/>
          <w:b/>
          <w:color w:val="000000"/>
          <w:sz w:val="24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4468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6735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3144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47.6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b/>
          <w:color w:val="000000"/>
          <w:sz w:val="24"/>
          <w:u w:val="none"/>
        </w:rPr>
      </w:r>
      <w:r/>
    </w:p>
    <w:p w14:paraId="461AE0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288" w:lineRule="auto"/>
        <w:ind w:right="0" w:firstLine="0" w:left="720"/>
        <w:rPr/>
      </w:pPr>
      <w:r/>
      <w:r/>
    </w:p>
    <w:p w14:paraId="045ADCB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7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: What is the global distribution of government AI policy implementation?</w:t>
      </w:r>
      <w:r/>
    </w:p>
    <w:p w14:paraId="11000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Pie Chart representing the proportion of countries categorized by their AI policy status (Strong, Moderate, and Weak).</w:t>
      </w:r>
      <w:r/>
    </w:p>
    <w:p w14:paraId="03164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 Provided: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Provides a quick overview of government readiness and policy support for AI adoption, enabling stakeholders to assess regulatory maturity across different countries.</w:t>
      </w:r>
      <w:r>
        <w:rPr>
          <w:rFonts w:ascii="Times New Roman" w:hAnsi="Times New Roman" w:eastAsia="Times New Roman" w:cs="Times New Roman"/>
          <w:sz w:val="24"/>
        </w:rPr>
      </w:r>
    </w:p>
    <w:p w14:paraId="44E30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1910C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88" w:lineRule="auto"/>
        <w:ind w:right="0" w:hanging="1134" w:left="709"/>
        <w:rPr/>
      </w:pPr>
      <w:r>
        <w:rPr>
          <w:rFonts w:ascii="Cambria" w:hAnsi="Cambria" w:eastAsia="Cambria" w:cs="Cambria"/>
          <w:color w:val="000000"/>
          <w:sz w:val="24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6932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080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169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49.5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color w:val="000000"/>
          <w:sz w:val="24"/>
          <w:u w:val="none"/>
        </w:rPr>
      </w:r>
      <w:r/>
    </w:p>
    <w:p w14:paraId="20C57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288" w:lineRule="auto"/>
        <w:ind w:right="0" w:firstLine="0" w:left="720"/>
        <w:rPr/>
      </w:pPr>
      <w:r>
        <w:rPr>
          <w:sz w:val="24"/>
        </w:rPr>
      </w:r>
      <w:r/>
    </w:p>
    <w:p w14:paraId="51649EA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8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: Which countries exhibit the largest disparity between urban and rural AI usage?</w:t>
      </w:r>
      <w:r/>
    </w:p>
    <w:p w14:paraId="0A159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Grouped Bar Chart comparing urban and rural AI usage percentages for each country.</w:t>
      </w:r>
      <w:r/>
    </w:p>
    <w:p w14:paraId="6454B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 Provided: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Reveals the digital divide across countries, enabling governments and organizations to prioritize investments in rural AI infrastructure and digital literacy initiatives</w:t>
      </w:r>
      <w:r>
        <w:rPr>
          <w:rFonts w:ascii="Times New Roman" w:hAnsi="Times New Roman" w:eastAsia="Times New Roman" w:cs="Times New Roman"/>
          <w:color w:val="000000"/>
          <w:sz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US"/>
        </w:rPr>
      </w:r>
    </w:p>
    <w:p w14:paraId="77B17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 w:line="288" w:lineRule="auto"/>
        <w:ind w:right="0" w:hanging="1134" w:left="709"/>
        <w:rPr/>
      </w:pPr>
      <w:r>
        <w:rPr>
          <w:rFonts w:ascii="Cambria" w:hAnsi="Cambria" w:eastAsia="Cambria" w:cs="Cambria"/>
          <w:b/>
          <w:color w:val="000000"/>
          <w:sz w:val="24"/>
          <w:u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5021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0553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940424" cy="2550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00.8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b/>
          <w:color w:val="000000"/>
          <w:sz w:val="24"/>
          <w:u w:val="none"/>
        </w:rPr>
      </w:r>
      <w:r/>
    </w:p>
    <w:p w14:paraId="25CE5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288" w:lineRule="auto"/>
        <w:ind w:right="600" w:firstLine="0" w:left="600"/>
        <w:rPr/>
      </w:pPr>
      <w:r>
        <w:rPr>
          <w:sz w:val="24"/>
        </w:rPr>
      </w:r>
      <w:r/>
      <w:r>
        <w:rPr>
          <w:sz w:val="24"/>
        </w:rPr>
      </w:r>
      <w:r/>
    </w:p>
    <w:p w14:paraId="720AE3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9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: Which AI tools are most popular across different regions worldwide?</w:t>
      </w:r>
      <w:r/>
    </w:p>
    <w:p w14:paraId="38700C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Stacked Bar Chart showing the distribution of the most commonly used AI tools across different regions.</w:t>
      </w:r>
      <w:r/>
    </w:p>
    <w:p w14:paraId="29F7D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 Provided: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Demonstrates regional preferences for AI platforms, enabling AI companies and educational institutions to develop region-specific adoption strategies and improve localized AI solutions.</w:t>
      </w:r>
      <w:r>
        <w:rPr>
          <w:rFonts w:ascii="Times New Roman" w:hAnsi="Times New Roman" w:eastAsia="Times New Roman" w:cs="Times New Roman"/>
          <w:sz w:val="24"/>
        </w:rPr>
      </w:r>
    </w:p>
    <w:p w14:paraId="5FCE4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 w14:paraId="05DBD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88" w:lineRule="auto"/>
        <w:ind w:right="0" w:hanging="425" w:left="0"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9303" cy="296817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6740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539303" cy="29681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6.17pt;height:233.7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sz w:val="24"/>
        </w:rPr>
      </w:r>
    </w:p>
    <w:p w14:paraId="52601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88" w:lineRule="auto"/>
        <w:ind w:right="0" w:hanging="425" w:left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64E26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88" w:lineRule="auto"/>
        <w:ind w:right="0" w:hanging="425" w:left="0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A3E50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en-US"/>
        </w:rPr>
        <w:t xml:space="preserve">10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: Which AI tools generate the highest average daily usage among users?</w:t>
      </w:r>
      <w:r/>
    </w:p>
    <w:p w14:paraId="70E76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Visualization: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Bubble Chart where bubble size represents average daily AI usage and each bubble corresponds to a different AI tool.</w:t>
      </w:r>
      <w:r/>
    </w:p>
    <w:p w14:paraId="0F9CF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Insight Provided: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Identifies the most frequently used AI tools, allowing developers and businesses to understand user preferenc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17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658115</wp:posOffset>
                </wp:positionV>
                <wp:extent cx="5435940" cy="3196441"/>
                <wp:effectExtent l="0" t="0" r="0" b="0"/>
                <wp:wrapTopAndBottom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356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435939" cy="3196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31744;o:allowoverlap:true;o:allowincell:true;mso-position-horizontal-relative:text;margin-left:0.00pt;mso-position-horizontal:absolute;mso-position-vertical-relative:text;margin-top:51.82pt;mso-position-vertical:absolute;width:428.03pt;height:251.69pt;mso-wrap-distance-left:9.07pt;mso-wrap-distance-top:0.00pt;mso-wrap-distance-right:9.07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es and</w:t>
      </w:r>
      <w:r/>
      <w:r/>
      <w:r/>
      <w:r/>
      <w:r/>
      <w:r/>
      <w:r/>
      <w:r/>
      <w:r/>
      <w:r/>
      <w:r/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ocus on enhancing the most impactful platforms.</w:t>
      </w:r>
      <w:r/>
      <w:r>
        <w:rPr>
          <w:highlight w:val="none"/>
        </w:rPr>
      </w:r>
      <w:r>
        <w:rPr>
          <w:highlight w:val="none"/>
        </w:rPr>
      </w:r>
      <w:r>
        <w:rPr>
          <w:sz w:val="24"/>
        </w:rPr>
      </w:r>
      <w:r/>
      <w:r/>
      <w:r/>
      <w:r>
        <w:rPr>
          <w:highlight w:val="none"/>
        </w:rPr>
      </w:r>
      <w:r>
        <w:rPr>
          <w:highlight w:val="none"/>
        </w:rPr>
      </w:r>
    </w:p>
    <w:p w14:paraId="60344F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0" w:right="850" w:bottom="539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B04C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2026-07-22T17:58:48Z</dcterms:modified>
</cp:coreProperties>
</file>