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04">
            <w:pPr>
              <w:spacing w:after="60" w:before="60"/>
              <w:rPr/>
            </w:pPr>
            <w:r w:rsidDel="00000000" w:rsidR="00000000" w:rsidRPr="00000000">
              <w:rPr>
                <w:rFonts w:ascii="Arial" w:hAnsi="Arial"/>
                <w:b/>
                <w:sz w:val="18"/>
                <w:rtl w:val="0"/>
              </w:rPr>
              <w:t xml:space="preserve">Date</w:t>
            </w:r>
          </w:p>
        </w:tc>
        <w:tc>
          <w:tcPr>
            <w:vAlign w:val="center"/>
          </w:tcPr>
          <w:p w:rsidR="00000000" w:rsidDel="00000000" w:rsidP="00000000" w:rsidRDefault="00000000" w:rsidRPr="00000000" w14:paraId="00000005">
            <w:pPr>
              <w:spacing w:after="60" w:before="60"/>
              <w:rPr/>
            </w:pPr>
            <w:r w:rsidDel="00000000" w:rsidR="00000000" w:rsidRPr="00000000">
              <w:rPr>
                <w:rFonts w:ascii="Arial" w:hAnsi="Arial"/>
                <w:b/>
                <w:sz w:val="18"/>
                <w:rtl w:val="0"/>
              </w:rPr>
              <w:t xml:space="preserve">31 January 2026</w:t>
            </w:r>
          </w:p>
        </w:tc>
      </w:tr>
      <w:tr>
        <w:trPr>
          <w:cantSplit w:val="0"/>
          <w:tblHeader w:val="0"/>
        </w:trPr>
        <w:tc>
          <w:tcPr>
            <w:vAlign w:val="center"/>
          </w:tcPr>
          <w:p w:rsidR="00000000" w:rsidDel="00000000" w:rsidP="00000000" w:rsidRDefault="00000000" w:rsidRPr="00000000" w14:paraId="00000006">
            <w:pPr>
              <w:spacing w:after="60" w:before="60"/>
              <w:rPr/>
            </w:pPr>
            <w:r w:rsidDel="00000000" w:rsidR="00000000" w:rsidRPr="00000000">
              <w:rPr>
                <w:rFonts w:ascii="Arial" w:hAnsi="Arial"/>
                <w:sz w:val="18"/>
                <w:rtl w:val="0"/>
              </w:rPr>
              <w:t xml:space="preserve">Team ID</w:t>
            </w:r>
          </w:p>
        </w:tc>
        <w:tc>
          <w:tcPr>
            <w:vAlign w:val="center"/>
          </w:tcPr>
          <w:p>
            <w:pPr>
              <w:spacing w:after="60" w:before="60"/>
            </w:pPr>
            <w:r>
              <w:rPr>
                <w:rFonts w:ascii="Arial" w:hAnsi="Arial"/>
                <w:sz w:val="18"/>
              </w:rPr>
              <w:t>Not provided</w:t>
            </w:r>
          </w:p>
        </w:tc>
      </w:tr>
      <w:tr>
        <w:trPr>
          <w:cantSplit w:val="0"/>
          <w:tblHeader w:val="0"/>
        </w:trPr>
        <w:tc>
          <w:tcPr>
            <w:vAlign w:val="center"/>
          </w:tcPr>
          <w:p w:rsidR="00000000" w:rsidDel="00000000" w:rsidP="00000000" w:rsidRDefault="00000000" w:rsidRPr="00000000" w14:paraId="00000008">
            <w:pPr>
              <w:spacing w:after="60" w:before="60"/>
              <w:rPr/>
            </w:pPr>
            <w:r w:rsidDel="00000000" w:rsidR="00000000" w:rsidRPr="00000000">
              <w:rPr>
                <w:rFonts w:ascii="Arial" w:hAnsi="Arial"/>
                <w:sz w:val="18"/>
                <w:rtl w:val="0"/>
              </w:rPr>
              <w:t xml:space="preserve">Project Name</w:t>
            </w:r>
          </w:p>
        </w:tc>
        <w:tc>
          <w:tcPr>
            <w:vAlign w:val="center"/>
          </w:tcPr>
          <w:p>
            <w:pPr>
              <w:spacing w:after="60" w:before="60"/>
            </w:pPr>
            <w:r>
              <w:rPr>
                <w:rFonts w:ascii="Arial" w:hAnsi="Arial"/>
                <w:sz w:val="18"/>
              </w:rPr>
              <w:t>Global Fuel Prices and Taxation Trends (2020–2025)</w:t>
            </w:r>
          </w:p>
        </w:tc>
      </w:tr>
      <w:tr>
        <w:trPr>
          <w:cantSplit w:val="0"/>
          <w:tblHeader w:val="0"/>
        </w:trPr>
        <w:tc>
          <w:tcPr>
            <w:vAlign w:val="center"/>
          </w:tcPr>
          <w:p w:rsidR="00000000" w:rsidDel="00000000" w:rsidP="00000000" w:rsidRDefault="00000000" w:rsidRPr="00000000" w14:paraId="0000000A">
            <w:pPr>
              <w:spacing w:after="60" w:before="60"/>
              <w:rPr/>
            </w:pPr>
            <w:r w:rsidDel="00000000" w:rsidR="00000000" w:rsidRPr="00000000">
              <w:rPr>
                <w:rFonts w:ascii="Arial" w:hAnsi="Arial"/>
                <w:sz w:val="18"/>
                <w:rtl w:val="0"/>
              </w:rPr>
              <w:t xml:space="preserve">Maximum Marks</w:t>
            </w:r>
          </w:p>
        </w:tc>
        <w:tc>
          <w:tcPr>
            <w:vAlign w:val="center"/>
          </w:tcPr>
          <w:p w:rsidR="00000000" w:rsidDel="00000000" w:rsidP="00000000" w:rsidRDefault="00000000" w:rsidRPr="00000000" w14:paraId="0000000B">
            <w:pPr>
              <w:spacing w:after="60" w:before="60"/>
              <w:rPr/>
            </w:pPr>
            <w:r w:rsidDel="00000000" w:rsidR="00000000" w:rsidRPr="00000000">
              <w:rPr>
                <w:rFonts w:ascii="Arial" w:hAnsi="Arial"/>
                <w:sz w:val="18"/>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vAlign w:val="center"/>
          </w:tcPr>
          <w:p w:rsidR="00000000" w:rsidDel="00000000" w:rsidP="00000000" w:rsidRDefault="00000000" w:rsidRPr="00000000" w14:paraId="00000014">
            <w:pPr>
              <w:spacing w:after="60" w:before="60"/>
              <w:rPr>
                <w:b w:val="1"/>
                <w:bCs w:val="1"/>
                <w:sz w:val="24"/>
                <w:szCs w:val="24"/>
              </w:rPr>
            </w:pPr>
            <w:r w:rsidDel="00000000" w:rsidR="00000000" w:rsidRPr="00000000">
              <w:rPr>
                <w:rFonts w:ascii="Arial" w:hAnsi="Arial"/>
                <w:b/>
                <w:bCs w:val="1"/>
                <w:sz w:val="18"/>
                <w:szCs w:val="24"/>
                <w:rtl w:val="0"/>
              </w:rPr>
              <w:t xml:space="preserve">Problem Statement (PS)</w:t>
            </w:r>
          </w:p>
        </w:tc>
        <w:tc>
          <w:tcPr>
            <w:vAlign w:val="center"/>
          </w:tcPr>
          <w:p w:rsidR="00000000" w:rsidDel="00000000" w:rsidP="00000000" w:rsidRDefault="00000000" w:rsidRPr="00000000" w14:paraId="00000015">
            <w:pPr>
              <w:spacing w:after="60" w:before="60"/>
              <w:rPr>
                <w:b w:val="1"/>
                <w:bCs w:val="1"/>
                <w:sz w:val="24"/>
                <w:szCs w:val="24"/>
              </w:rPr>
            </w:pPr>
            <w:r w:rsidDel="00000000" w:rsidR="00000000" w:rsidRPr="00000000">
              <w:rPr>
                <w:rFonts w:ascii="Arial" w:hAnsi="Arial"/>
                <w:b/>
                <w:bCs w:val="1"/>
                <w:sz w:val="18"/>
                <w:szCs w:val="24"/>
                <w:rtl w:val="0"/>
              </w:rPr>
              <w:t xml:space="preserve">I am (Customer)</w:t>
            </w:r>
          </w:p>
        </w:tc>
        <w:tc>
          <w:tcPr>
            <w:vAlign w:val="center"/>
          </w:tcPr>
          <w:p w:rsidR="00000000" w:rsidDel="00000000" w:rsidP="00000000" w:rsidRDefault="00000000" w:rsidRPr="00000000" w14:paraId="00000016">
            <w:pPr>
              <w:spacing w:after="60" w:before="60"/>
              <w:rPr>
                <w:b w:val="1"/>
                <w:bCs w:val="1"/>
                <w:sz w:val="24"/>
                <w:szCs w:val="24"/>
              </w:rPr>
            </w:pPr>
            <w:r w:rsidDel="00000000" w:rsidR="00000000" w:rsidRPr="00000000">
              <w:rPr>
                <w:rFonts w:ascii="Arial" w:hAnsi="Arial"/>
                <w:b/>
                <w:bCs w:val="1"/>
                <w:sz w:val="18"/>
                <w:szCs w:val="24"/>
                <w:rtl w:val="0"/>
              </w:rPr>
              <w:t xml:space="preserve">I’m trying to</w:t>
            </w:r>
          </w:p>
        </w:tc>
        <w:tc>
          <w:tcPr>
            <w:vAlign w:val="center"/>
          </w:tcPr>
          <w:p w:rsidR="00000000" w:rsidDel="00000000" w:rsidP="00000000" w:rsidRDefault="00000000" w:rsidRPr="00000000" w14:paraId="00000017">
            <w:pPr>
              <w:spacing w:after="60" w:before="60"/>
              <w:rPr>
                <w:b w:val="1"/>
                <w:bCs w:val="1"/>
                <w:sz w:val="24"/>
                <w:szCs w:val="24"/>
              </w:rPr>
            </w:pPr>
            <w:r w:rsidDel="00000000" w:rsidR="00000000" w:rsidRPr="00000000">
              <w:rPr>
                <w:rFonts w:ascii="Arial" w:hAnsi="Arial"/>
                <w:b/>
                <w:bCs w:val="1"/>
                <w:sz w:val="18"/>
                <w:szCs w:val="24"/>
                <w:rtl w:val="0"/>
              </w:rPr>
              <w:t xml:space="preserve">But</w:t>
            </w:r>
          </w:p>
        </w:tc>
        <w:tc>
          <w:tcPr>
            <w:vAlign w:val="center"/>
          </w:tcPr>
          <w:p w:rsidR="00000000" w:rsidDel="00000000" w:rsidP="00000000" w:rsidRDefault="00000000" w:rsidRPr="00000000" w14:paraId="00000018">
            <w:pPr>
              <w:spacing w:after="60" w:before="60"/>
              <w:rPr>
                <w:b w:val="1"/>
                <w:bCs w:val="1"/>
                <w:sz w:val="24"/>
                <w:szCs w:val="24"/>
              </w:rPr>
            </w:pPr>
            <w:r w:rsidDel="00000000" w:rsidR="00000000" w:rsidRPr="00000000">
              <w:rPr>
                <w:rFonts w:ascii="Arial" w:hAnsi="Arial"/>
                <w:b/>
                <w:bCs w:val="1"/>
                <w:sz w:val="18"/>
                <w:szCs w:val="24"/>
                <w:rtl w:val="0"/>
              </w:rPr>
              <w:t xml:space="preserve">Because</w:t>
            </w:r>
          </w:p>
        </w:tc>
        <w:tc>
          <w:tcPr>
            <w:vAlign w:val="center"/>
          </w:tcPr>
          <w:p w:rsidR="00000000" w:rsidDel="00000000" w:rsidP="00000000" w:rsidRDefault="00000000" w:rsidRPr="00000000" w14:paraId="00000019">
            <w:pPr>
              <w:spacing w:after="60" w:before="60"/>
              <w:rPr>
                <w:b w:val="1"/>
                <w:bCs w:val="1"/>
                <w:sz w:val="24"/>
                <w:szCs w:val="24"/>
              </w:rPr>
            </w:pPr>
            <w:r w:rsidDel="00000000" w:rsidR="00000000" w:rsidRPr="00000000">
              <w:rPr>
                <w:rFonts w:ascii="Arial" w:hAnsi="Arial"/>
                <w:b/>
                <w:bCs w:val="1"/>
                <w:sz w:val="18"/>
                <w:szCs w:val="24"/>
                <w:rtl w:val="0"/>
              </w:rPr>
              <w:t xml:space="preserve">Which makes me feel</w:t>
            </w:r>
          </w:p>
        </w:tc>
      </w:tr>
      <w:tr>
        <w:trPr>
          <w:cantSplit w:val="0"/>
          <w:tblHeader w:val="0"/>
        </w:trPr>
        <w:tc>
          <w:tcPr>
            <w:vAlign w:val="center"/>
          </w:tcPr>
          <w:p>
            <w:pPr>
              <w:keepLines/>
              <w:spacing w:after="60" w:before="60"/>
            </w:pPr>
            <w:r>
              <w:rPr>
                <w:rFonts w:ascii="Arial" w:hAnsi="Arial"/>
                <w:sz w:val="16"/>
              </w:rPr>
              <w:t>PS-1</w:t>
            </w:r>
          </w:p>
        </w:tc>
        <w:tc>
          <w:tcPr>
            <w:vAlign w:val="center"/>
          </w:tcPr>
          <w:p>
            <w:pPr>
              <w:keepLines/>
              <w:spacing w:after="60" w:before="60"/>
            </w:pPr>
            <w:r>
              <w:rPr>
                <w:rFonts w:ascii="Arial" w:hAnsi="Arial"/>
                <w:sz w:val="16"/>
              </w:rPr>
              <w:t>A driver or fuel consumer who depends on petrol, diesel, or LPG for daily travel and household needs.</w:t>
            </w:r>
          </w:p>
        </w:tc>
        <w:tc>
          <w:tcPr>
            <w:vAlign w:val="center"/>
          </w:tcPr>
          <w:p>
            <w:pPr>
              <w:keepLines/>
              <w:spacing w:after="60" w:before="60"/>
            </w:pPr>
            <w:r>
              <w:rPr>
                <w:rFonts w:ascii="Arial" w:hAnsi="Arial"/>
                <w:sz w:val="16"/>
              </w:rPr>
              <w:t>Understand and compare petrol, diesel, and LPG prices across countries and regions, and see how prices change over time.</w:t>
            </w:r>
          </w:p>
        </w:tc>
        <w:tc>
          <w:tcPr>
            <w:vAlign w:val="center"/>
          </w:tcPr>
          <w:p>
            <w:pPr>
              <w:keepLines/>
              <w:spacing w:after="60" w:before="60"/>
            </w:pPr>
            <w:r>
              <w:rPr>
                <w:rFonts w:ascii="Arial" w:hAnsi="Arial"/>
                <w:sz w:val="16"/>
              </w:rPr>
              <w:t>Fuel prices vary widely between countries, and it is difficult to compare different fuels and regional trends in one place.</w:t>
            </w:r>
          </w:p>
        </w:tc>
        <w:tc>
          <w:tcPr>
            <w:vAlign w:val="center"/>
          </w:tcPr>
          <w:p>
            <w:pPr>
              <w:keepLines/>
              <w:spacing w:after="60" w:before="60"/>
            </w:pPr>
            <w:r>
              <w:rPr>
                <w:rFonts w:ascii="Arial" w:hAnsi="Arial"/>
                <w:sz w:val="16"/>
              </w:rPr>
              <w:t>Fuel-price information is spread across different sources, and taxes and crude-oil price changes can make the final price difficult to understand.</w:t>
            </w:r>
          </w:p>
        </w:tc>
        <w:tc>
          <w:tcPr>
            <w:vAlign w:val="center"/>
          </w:tcPr>
          <w:p>
            <w:pPr>
              <w:keepLines/>
              <w:spacing w:after="60" w:before="60"/>
            </w:pPr>
            <w:r>
              <w:rPr>
                <w:rFonts w:ascii="Arial" w:hAnsi="Arial"/>
                <w:sz w:val="16"/>
              </w:rPr>
              <w:t>Confused and concerned about fuel expenses, and unsure where prices are higher or how they are changing.</w:t>
            </w:r>
          </w:p>
        </w:tc>
      </w:tr>
      <w:tr>
        <w:trPr>
          <w:cantSplit w:val="0"/>
          <w:tblHeader w:val="0"/>
        </w:trPr>
        <w:tc>
          <w:tcPr>
            <w:vAlign w:val="center"/>
          </w:tcPr>
          <w:p>
            <w:pPr>
              <w:keepLines/>
              <w:spacing w:after="60" w:before="60"/>
            </w:pPr>
            <w:r>
              <w:rPr>
                <w:rFonts w:ascii="Arial" w:hAnsi="Arial"/>
                <w:sz w:val="16"/>
              </w:rPr>
              <w:t>PS-2</w:t>
            </w:r>
          </w:p>
        </w:tc>
        <w:tc>
          <w:tcPr>
            <w:vAlign w:val="center"/>
          </w:tcPr>
          <w:p>
            <w:pPr>
              <w:keepLines/>
              <w:spacing w:after="60" w:before="60"/>
            </w:pPr>
            <w:r>
              <w:rPr>
                <w:rFonts w:ascii="Arial" w:hAnsi="Arial"/>
                <w:sz w:val="16"/>
              </w:rPr>
              <w:t>A student, researcher, or decision-maker studying global fuel markets and taxation.</w:t>
            </w:r>
          </w:p>
        </w:tc>
        <w:tc>
          <w:tcPr>
            <w:vAlign w:val="center"/>
          </w:tcPr>
          <w:p>
            <w:pPr>
              <w:keepLines/>
              <w:spacing w:after="60" w:before="60"/>
            </w:pPr>
            <w:r>
              <w:rPr>
                <w:rFonts w:ascii="Arial" w:hAnsi="Arial"/>
                <w:sz w:val="16"/>
              </w:rPr>
              <w:t>Analyze country-wise and region-wise fuel prices, tax percentages, and Brent crude oil trends from 2020 to 2025.</w:t>
            </w:r>
          </w:p>
        </w:tc>
        <w:tc>
          <w:tcPr>
            <w:vAlign w:val="center"/>
          </w:tcPr>
          <w:p>
            <w:pPr>
              <w:keepLines/>
              <w:spacing w:after="60" w:before="60"/>
            </w:pPr>
            <w:r>
              <w:rPr>
                <w:rFonts w:ascii="Arial" w:hAnsi="Arial"/>
                <w:sz w:val="16"/>
              </w:rPr>
              <w:t>It is difficult to identify patterns and compare the effect of taxation across countries using separate tables or static information.</w:t>
            </w:r>
          </w:p>
        </w:tc>
        <w:tc>
          <w:tcPr>
            <w:vAlign w:val="center"/>
          </w:tcPr>
          <w:p>
            <w:pPr>
              <w:keepLines/>
              <w:spacing w:after="60" w:before="60"/>
            </w:pPr>
            <w:r>
              <w:rPr>
                <w:rFonts w:ascii="Arial" w:hAnsi="Arial"/>
                <w:sz w:val="16"/>
              </w:rPr>
              <w:t>Fuel-price, tax, and crude-oil trends need to be viewed together, but the information may be presented in different formats and locations.</w:t>
            </w:r>
          </w:p>
        </w:tc>
        <w:tc>
          <w:tcPr>
            <w:vAlign w:val="center"/>
          </w:tcPr>
          <w:p>
            <w:pPr>
              <w:keepLines/>
              <w:spacing w:after="60" w:before="60"/>
            </w:pPr>
            <w:r>
              <w:rPr>
                <w:rFonts w:ascii="Arial" w:hAnsi="Arial"/>
                <w:sz w:val="16"/>
              </w:rPr>
              <w:t>Frustrated by the time needed to compare the data and uncertain about drawing clear, evidence-based conclusions.</w:t>
            </w:r>
          </w:p>
        </w:tc>
      </w:tr>
    </w:tbl>
    <w:p w:rsidR="00000000" w:rsidDel="00000000" w:rsidP="00000000" w:rsidRDefault="00000000" w:rsidRPr="00000000" w14:paraId="00000026">
      <w:pPr>
        <w:rPr>
          <w:sz w:val="24"/>
          <w:szCs w:val="24"/>
        </w:rPr>
      </w:pPr>
      <w:r w:rsidDel="00000000" w:rsidR="00000000" w:rsidRPr="00000000">
        <w:rPr>
          <w:rtl w:val="0"/>
        </w:rPr>
      </w:r>
    </w:p>
    <w:p>
      <w:pPr>
        <w:spacing w:before="120"/>
      </w:pPr>
      <w:r>
        <w:rPr>
          <w:b/>
          <w:sz w:val="18"/>
        </w:rPr>
        <w:t xml:space="preserve">Project Dashboard: </w:t>
      </w:r>
      <w:r>
        <w:rPr>
          <w:sz w:val="16"/>
        </w:rPr>
        <w:t>https://public.tableau.com/app/profile/akshita.panwar/viz/GlobalFuelPricesandTaxationTrends_17930482136410/GlobalFuelPricesandTaxationTrends</w:t>
      </w:r>
    </w:p>
    <w:sectPr>
      <w:headerReference r:id="rId10" w:type="default"/>
      <w:pgSz w:h="16838" w:w="11906" w:orient="portrait"/>
      <w:pgMar w:bottom="792" w:top="792"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