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spacing w:after="60" w:before="60"/>
              <w:rPr/>
            </w:pPr>
            <w:r w:rsidDel="00000000" w:rsidR="00000000" w:rsidRPr="00000000">
              <w:rPr>
                <w:rFonts w:ascii="Arial" w:hAnsi="Arial"/>
                <w:sz w:val="18"/>
                <w:rtl w:val="0"/>
              </w:rPr>
              <w:t xml:space="preserve">Date</w:t>
            </w:r>
          </w:p>
        </w:tc>
        <w:tc>
          <w:tcPr>
            <w:vAlign w:val="center"/>
          </w:tcPr>
          <w:p w:rsidR="00000000" w:rsidDel="00000000" w:rsidP="00000000" w:rsidRDefault="00000000" w:rsidRPr="00000000" w14:paraId="00000005">
            <w:pPr>
              <w:spacing w:after="60" w:before="60"/>
              <w:rPr/>
            </w:pPr>
            <w:r w:rsidDel="00000000" w:rsidR="00000000" w:rsidRPr="00000000">
              <w:rPr>
                <w:rFonts w:ascii="Arial" w:hAnsi="Arial"/>
                <w:sz w:val="18"/>
                <w:rtl w:val="0"/>
              </w:rPr>
              <w:t xml:space="preserve">31 January 2026</w:t>
            </w:r>
          </w:p>
        </w:tc>
      </w:tr>
      <w:tr>
        <w:trPr>
          <w:cantSplit w:val="0"/>
          <w:tblHeader w:val="0"/>
        </w:trPr>
        <w:tc>
          <w:tcPr>
            <w:vAlign w:val="center"/>
          </w:tcPr>
          <w:p w:rsidR="00000000" w:rsidDel="00000000" w:rsidP="00000000" w:rsidRDefault="00000000" w:rsidRPr="00000000" w14:paraId="00000006">
            <w:pPr>
              <w:spacing w:after="60" w:before="60"/>
              <w:rPr/>
            </w:pPr>
            <w:r w:rsidDel="00000000" w:rsidR="00000000" w:rsidRPr="00000000">
              <w:rPr>
                <w:rFonts w:ascii="Arial" w:hAnsi="Arial"/>
                <w:sz w:val="18"/>
                <w:rtl w:val="0"/>
              </w:rPr>
              <w:t xml:space="preserve">Team ID</w:t>
            </w:r>
          </w:p>
        </w:tc>
        <w:tc>
          <w:tcPr>
            <w:vAlign w:val="center"/>
          </w:tcPr>
          <w:p>
            <w:pPr>
              <w:spacing w:after="60" w:before="60"/>
            </w:pPr>
            <w:r>
              <w:rPr>
                <w:rFonts w:ascii="Arial" w:hAnsi="Arial"/>
                <w:sz w:val="18"/>
              </w:rPr>
              <w:t>Not provided</w:t>
            </w:r>
          </w:p>
        </w:tc>
      </w:tr>
      <w:tr>
        <w:trPr>
          <w:cantSplit w:val="0"/>
          <w:tblHeader w:val="0"/>
        </w:trPr>
        <w:tc>
          <w:tcPr>
            <w:vAlign w:val="center"/>
          </w:tcPr>
          <w:p w:rsidR="00000000" w:rsidDel="00000000" w:rsidP="00000000" w:rsidRDefault="00000000" w:rsidRPr="00000000" w14:paraId="00000008">
            <w:pPr>
              <w:spacing w:after="60" w:before="60"/>
              <w:rPr/>
            </w:pPr>
            <w:r w:rsidDel="00000000" w:rsidR="00000000" w:rsidRPr="00000000">
              <w:rPr>
                <w:rFonts w:ascii="Arial" w:hAnsi="Arial"/>
                <w:sz w:val="18"/>
                <w:rtl w:val="0"/>
              </w:rPr>
              <w:t xml:space="preserve">Project Name</w:t>
            </w:r>
          </w:p>
        </w:tc>
        <w:tc>
          <w:tcPr>
            <w:vAlign w:val="center"/>
          </w:tcPr>
          <w:p>
            <w:pPr>
              <w:spacing w:after="60" w:before="60"/>
            </w:pPr>
            <w:r>
              <w:rPr>
                <w:rFonts w:ascii="Arial" w:hAnsi="Arial"/>
                <w:sz w:val="18"/>
              </w:rPr>
              <w:t>Global Fuel Prices and Taxation Trends (2020–2025)</w:t>
            </w:r>
          </w:p>
        </w:tc>
      </w:tr>
      <w:tr>
        <w:trPr>
          <w:cantSplit w:val="0"/>
          <w:tblHeader w:val="0"/>
        </w:trPr>
        <w:tc>
          <w:tcPr>
            <w:vAlign w:val="center"/>
          </w:tcPr>
          <w:p w:rsidR="00000000" w:rsidDel="00000000" w:rsidP="00000000" w:rsidRDefault="00000000" w:rsidRPr="00000000" w14:paraId="0000000A">
            <w:pPr>
              <w:spacing w:after="60" w:before="60"/>
              <w:rPr/>
            </w:pPr>
            <w:r w:rsidDel="00000000" w:rsidR="00000000" w:rsidRPr="00000000">
              <w:rPr>
                <w:rFonts w:ascii="Arial" w:hAnsi="Arial"/>
                <w:sz w:val="18"/>
                <w:rtl w:val="0"/>
              </w:rPr>
              <w:t xml:space="preserve">Maximum Marks</w:t>
            </w:r>
          </w:p>
        </w:tc>
        <w:tc>
          <w:tcPr>
            <w:vAlign w:val="center"/>
          </w:tcPr>
          <w:p w:rsidR="00000000" w:rsidDel="00000000" w:rsidP="00000000" w:rsidRDefault="00000000" w:rsidRPr="00000000" w14:paraId="0000000B">
            <w:pPr>
              <w:spacing w:after="60" w:before="60"/>
              <w:rPr/>
            </w:pPr>
            <w:r w:rsidDel="00000000" w:rsidR="00000000" w:rsidRPr="00000000">
              <w:rPr>
                <w:rFonts w:ascii="Arial" w:hAnsi="Arial"/>
                <w:sz w:val="18"/>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br w:type="page"/>
      </w:r>
    </w:p>
    <w:p>
      <w:pPr>
        <w:jc w:val="center"/>
      </w:pPr>
      <w:r>
        <w:rPr>
          <w:rFonts w:ascii="Arial" w:hAnsi="Arial"/>
          <w:b/>
          <w:sz w:val="32"/>
        </w:rPr>
        <w:t>Completed Empathy Map Canvas</w:t>
      </w:r>
    </w:p>
    <w:p>
      <w:pPr>
        <w:jc w:val="center"/>
      </w:pPr>
      <w:r>
        <w:rPr>
          <w:rFonts w:ascii="Arial" w:hAnsi="Arial"/>
          <w:sz w:val="20"/>
        </w:rPr>
        <w:t>Project: Global Fuel Prices and Taxation Trends (2020–2025)</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60" w:before="60"/>
            </w:pPr>
            <w:r>
              <w:rPr>
                <w:rFonts w:ascii="Arial" w:hAnsi="Arial"/>
                <w:b/>
                <w:sz w:val="18"/>
              </w:rPr>
              <w:t>PERSONA NAME (Role / User Type)</w:t>
            </w:r>
          </w:p>
        </w:tc>
        <w:tc>
          <w:tcPr>
            <w:tcW w:type="dxa" w:w="4513"/>
            <w:vAlign w:val="center"/>
          </w:tcPr>
          <w:p>
            <w:pPr>
              <w:spacing w:after="60" w:before="60"/>
            </w:pPr>
            <w:r>
              <w:rPr>
                <w:rFonts w:ascii="Arial" w:hAnsi="Arial"/>
                <w:sz w:val="18"/>
              </w:rPr>
              <w:t>Fuel consumer / student researcher interested in comparing global fuel prices and taxation.</w:t>
            </w:r>
          </w:p>
        </w:tc>
      </w:tr>
    </w:tbl>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60" w:before="60"/>
            </w:pPr>
            <w:r>
              <w:rPr>
                <w:rFonts w:ascii="Arial" w:hAnsi="Arial"/>
              </w:rPr>
            </w:r>
            <w:r>
              <w:rPr>
                <w:rFonts w:ascii="Arial" w:hAnsi="Arial"/>
                <w:b/>
                <w:sz w:val="22"/>
              </w:rPr>
              <w:t>SAYS</w:t>
            </w:r>
          </w:p>
          <w:p>
            <w:pPr>
              <w:spacing w:after="60" w:before="60"/>
              <w:ind w:left="144"/>
            </w:pPr>
            <w:r>
              <w:rPr>
                <w:rFonts w:ascii="Arial" w:hAnsi="Arial"/>
                <w:sz w:val="18"/>
              </w:rPr>
              <w:t>• “Fuel prices are different in every country.”</w:t>
            </w:r>
          </w:p>
          <w:p>
            <w:pPr>
              <w:spacing w:after="60" w:before="60"/>
              <w:ind w:left="144"/>
            </w:pPr>
            <w:r>
              <w:rPr>
                <w:rFonts w:ascii="Arial" w:hAnsi="Arial"/>
                <w:sz w:val="18"/>
              </w:rPr>
              <w:t>• “I want to compare petrol, diesel and LPG prices in one place.”</w:t>
            </w:r>
          </w:p>
          <w:p>
            <w:pPr>
              <w:spacing w:after="60" w:before="60"/>
              <w:ind w:left="144"/>
            </w:pPr>
            <w:r>
              <w:rPr>
                <w:rFonts w:ascii="Arial" w:hAnsi="Arial"/>
                <w:sz w:val="18"/>
              </w:rPr>
              <w:t>• “I also want to understand how taxes affect fuel prices.”</w:t>
            </w:r>
          </w:p>
        </w:tc>
        <w:tc>
          <w:tcPr>
            <w:tcW w:type="dxa" w:w="4513"/>
            <w:vAlign w:val="center"/>
          </w:tcPr>
          <w:p>
            <w:pPr>
              <w:spacing w:after="60" w:before="60"/>
            </w:pPr>
            <w:r>
              <w:rPr>
                <w:rFonts w:ascii="Arial" w:hAnsi="Arial"/>
              </w:rPr>
            </w:r>
            <w:r>
              <w:rPr>
                <w:rFonts w:ascii="Arial" w:hAnsi="Arial"/>
                <w:b/>
                <w:sz w:val="22"/>
              </w:rPr>
              <w:t>THINKS</w:t>
            </w:r>
          </w:p>
          <w:p>
            <w:pPr>
              <w:spacing w:after="60" w:before="60"/>
              <w:ind w:left="144"/>
            </w:pPr>
            <w:r>
              <w:rPr>
                <w:rFonts w:ascii="Arial" w:hAnsi="Arial"/>
                <w:sz w:val="18"/>
              </w:rPr>
              <w:t>• Why do fuel prices vary so much between countries and regions?</w:t>
            </w:r>
          </w:p>
          <w:p>
            <w:pPr>
              <w:spacing w:after="60" w:before="60"/>
              <w:ind w:left="144"/>
            </w:pPr>
            <w:r>
              <w:rPr>
                <w:rFonts w:ascii="Arial" w:hAnsi="Arial"/>
                <w:sz w:val="18"/>
              </w:rPr>
              <w:t>• How are crude-oil price changes related to retail fuel prices?</w:t>
            </w:r>
          </w:p>
          <w:p>
            <w:pPr>
              <w:spacing w:after="60" w:before="60"/>
              <w:ind w:left="144"/>
            </w:pPr>
            <w:r>
              <w:rPr>
                <w:rFonts w:ascii="Arial" w:hAnsi="Arial"/>
                <w:sz w:val="18"/>
              </w:rPr>
              <w:t>• Can one dashboard make the comparisons easier to understand?</w:t>
            </w:r>
          </w:p>
        </w:tc>
      </w:tr>
      <w:tr>
        <w:tc>
          <w:tcPr>
            <w:tcW w:type="dxa" w:w="4513"/>
            <w:vAlign w:val="center"/>
          </w:tcPr>
          <w:p>
            <w:pPr>
              <w:spacing w:after="60" w:before="60"/>
            </w:pPr>
            <w:r>
              <w:rPr>
                <w:rFonts w:ascii="Arial" w:hAnsi="Arial"/>
              </w:rPr>
            </w:r>
            <w:r>
              <w:rPr>
                <w:rFonts w:ascii="Arial" w:hAnsi="Arial"/>
                <w:b/>
                <w:sz w:val="22"/>
              </w:rPr>
              <w:t>DOES</w:t>
            </w:r>
          </w:p>
          <w:p>
            <w:pPr>
              <w:spacing w:after="60" w:before="60"/>
              <w:ind w:left="144"/>
            </w:pPr>
            <w:r>
              <w:rPr>
                <w:rFonts w:ascii="Arial" w:hAnsi="Arial"/>
                <w:sz w:val="18"/>
              </w:rPr>
              <w:t>• Searches for fuel-price information from different sources.</w:t>
            </w:r>
          </w:p>
          <w:p>
            <w:pPr>
              <w:spacing w:after="60" w:before="60"/>
              <w:ind w:left="144"/>
            </w:pPr>
            <w:r>
              <w:rPr>
                <w:rFonts w:ascii="Arial" w:hAnsi="Arial"/>
                <w:sz w:val="18"/>
              </w:rPr>
              <w:t>• Compares petrol, diesel and LPG prices across countries.</w:t>
            </w:r>
          </w:p>
          <w:p>
            <w:pPr>
              <w:spacing w:after="60" w:before="60"/>
              <w:ind w:left="144"/>
            </w:pPr>
            <w:r>
              <w:rPr>
                <w:rFonts w:ascii="Arial" w:hAnsi="Arial"/>
                <w:sz w:val="18"/>
              </w:rPr>
              <w:t>• Checks charts and tax percentages to identify trends.</w:t>
            </w:r>
          </w:p>
        </w:tc>
        <w:tc>
          <w:tcPr>
            <w:tcW w:type="dxa" w:w="4513"/>
            <w:vAlign w:val="center"/>
          </w:tcPr>
          <w:p>
            <w:pPr>
              <w:spacing w:after="60" w:before="60"/>
            </w:pPr>
            <w:r>
              <w:rPr>
                <w:rFonts w:ascii="Arial" w:hAnsi="Arial"/>
              </w:rPr>
            </w:r>
            <w:r>
              <w:rPr>
                <w:rFonts w:ascii="Arial" w:hAnsi="Arial"/>
                <w:b/>
                <w:sz w:val="22"/>
              </w:rPr>
              <w:t>FEELS</w:t>
            </w:r>
          </w:p>
          <w:p>
            <w:pPr>
              <w:spacing w:after="60" w:before="60"/>
              <w:ind w:left="144"/>
            </w:pPr>
            <w:r>
              <w:rPr>
                <w:rFonts w:ascii="Arial" w:hAnsi="Arial"/>
                <w:sz w:val="18"/>
              </w:rPr>
              <w:t>• Confused when information is scattered across different sources.</w:t>
            </w:r>
          </w:p>
          <w:p>
            <w:pPr>
              <w:spacing w:after="60" w:before="60"/>
              <w:ind w:left="144"/>
            </w:pPr>
            <w:r>
              <w:rPr>
                <w:rFonts w:ascii="Arial" w:hAnsi="Arial"/>
                <w:sz w:val="18"/>
              </w:rPr>
              <w:t>• Concerned about fuel expenses and changing prices.</w:t>
            </w:r>
          </w:p>
          <w:p>
            <w:pPr>
              <w:spacing w:after="60" w:before="60"/>
              <w:ind w:left="144"/>
            </w:pPr>
            <w:r>
              <w:rPr>
                <w:rFonts w:ascii="Arial" w:hAnsi="Arial"/>
                <w:sz w:val="18"/>
              </w:rPr>
              <w:t>• More confident when comparisons and trends are shown clearly.</w:t>
            </w:r>
          </w:p>
        </w:tc>
      </w:tr>
    </w:tbl>
    <w:p/>
    <w:p>
      <w:r>
        <w:rPr>
          <w:rFonts w:ascii="Arial" w:hAnsi="Arial"/>
          <w:b/>
          <w:sz w:val="18"/>
        </w:rPr>
        <w:t xml:space="preserve">Project Dashboard: </w:t>
      </w:r>
      <w:r>
        <w:rPr>
          <w:rFonts w:ascii="Arial" w:hAnsi="Arial"/>
          <w:sz w:val="16"/>
        </w:rPr>
        <w:t>https://public.tableau.com/app/profile/akshita.panwar/viz/GlobalFuelPricesandTaxationTrends_17930482136410/GlobalFuelPricesandTaxationTrends</w:t>
      </w:r>
    </w:p>
    <w:sectPr>
      <w:headerReference r:id="rId9" w:type="default"/>
      <w:pgSz w:h="16838" w:w="11906" w:orient="portrait"/>
      <w:pgMar w:bottom="792" w:top="792" w:left="792" w:right="79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