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40" w:before="4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40" w:before="4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before="4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Sub Requirement (Story / Sub-Task)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40" w:before="4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Data Access &amp; Integration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Access structured fuel-price data for petrol, diesel and LPG, country/region details, tax percentages, and Brent crude oil prices for 2020–2025 through the project dataset connected to Tableau.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Data Processing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Prepare the dataset by checking missing values, consistent country and fuel names, date/year formats, numeric price and tax fields, and suitable units before creating visualizations.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Business Analysis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Compare fuel prices by country and fuel type; analyze yearly changes in Brent crude oil prices; compare tax percentages by country and region; identify high/low values and trends.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Business Insights &amp; Analytical Outputs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Provide Tableau charts and dashboards for country-wise petrol, diesel and LPG comparisons, Brent crude oil trends, tax percentage comparisons by country and region, and clear summary insights.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User Interaction &amp; Analysis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Allow users to explore the dashboard using available country, fuel type, year and region filters; compare values across countries and inspect trends in the visualizations.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Data Update &amp; Reporting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Display the data period (2020–2025) clearly and refresh the Tableau data source when updated source data becomes available. Publish the dashboard on Tableau Public for sharing.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before="4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before="4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Non-Functional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before="4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NFR-1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Usability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Dashboard labels, legends, titles and filters should be clear and easy to understand for students, researchers and general users.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NFR-2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Security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Use publicly shareable, non-sensitive analytical data; do not collect personal user information. Keep the source and data period identifiable.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NFR-3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Reliability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Charts should display consistent values and labels when the same filters and dataset are used; handle missing data transparently.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NFR-4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Performance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Charts and filters should respond smoothly for the available dataset size, without unnecessary visual clutter.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NFR-5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16"/>
                <w:rtl w:val="0"/>
              </w:rPr>
              <w:t xml:space="preserve">Availability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The published Tableau Public dashboard should be accessible through its public link when Tableau Public and the internet are 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 xml:space="preserve">NFR-6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before="40"/>
              <w:rPr>
                <w:color w:val="222222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222222"/>
                <w:sz w:val="16"/>
                <w:rtl w:val="0"/>
              </w:rPr>
              <w:t xml:space="preserve">Scalability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The workbook and data preparation approach should support adding more years, countries, fuel types or tax indicators when suitable data is available.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