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28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Team ID: To be filled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Global Fuel Prices and Taxation Trends (2020–2025)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