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>
            <w:r>
              <w:rPr>
                <w:sz w:val="17"/>
              </w:rPr>
              <w:t>28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>
            <w:r>
              <w:rPr>
                <w:sz w:val="17"/>
              </w:rPr>
              <w:t>To be filled by team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>
            <w:r>
              <w:rPr>
                <w:sz w:val="17"/>
              </w:rPr>
              <w:t>Global Fuel Prices and Taxation Trends (2020–2025)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Project </w:t>
        <w:tab/>
        <w:t xml:space="preserve">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rPr>
                <w:sz w:val="17"/>
              </w:rPr>
              <w:t>1.</w:t>
            </w:r>
          </w:p>
        </w:tc>
        <w:tc>
          <w:tcPr/>
          <w:p>
            <w:r>
              <w:rPr>
                <w:sz w:val="17"/>
              </w:rPr>
              <w:t>Data Rendered</w:t>
            </w:r>
          </w:p>
        </w:tc>
        <w:tc>
          <w:tcPr/>
          <w:p>
            <w:r>
              <w:rPr>
                <w:sz w:val="17"/>
              </w:rPr>
              <w:t>Dashboard data covers global fuel prices and taxation trends for 2020–2025. Add a screenshot of the connected data source and record the actual row count/file size from the workbook.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rPr>
                <w:sz w:val="17"/>
              </w:rPr>
              <w:t>2.</w:t>
            </w:r>
          </w:p>
        </w:tc>
        <w:tc>
          <w:tcPr/>
          <w:p>
            <w:r>
              <w:rPr>
                <w:sz w:val="17"/>
              </w:rPr>
              <w:t>Data Preprocessing</w:t>
            </w:r>
          </w:p>
        </w:tc>
        <w:tc>
          <w:tcPr/>
          <w:p>
            <w:r>
              <w:rPr>
                <w:sz w:val="17"/>
              </w:rPr>
              <w:t>Verify missing values, duplicates, country names, date/year formats and numeric price/tax fields. Report only checks actually completed; no source-level counts were supplied.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rPr>
                <w:sz w:val="17"/>
              </w:rPr>
              <w:t>3.</w:t>
            </w:r>
          </w:p>
        </w:tc>
        <w:tc>
          <w:tcPr/>
          <w:p>
            <w:r>
              <w:rPr>
                <w:sz w:val="17"/>
              </w:rPr>
              <w:t>Utilization of Filters</w:t>
            </w:r>
          </w:p>
        </w:tc>
        <w:tc>
          <w:tcPr/>
          <w:p>
            <w:r>
              <w:rPr>
                <w:sz w:val="17"/>
              </w:rPr>
              <w:t>Country/region, fuel type and year filters where available. Include screenshots showing each filter selection and the resulting visual update.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rPr>
                <w:sz w:val="17"/>
              </w:rPr>
              <w:t>4.</w:t>
            </w:r>
          </w:p>
        </w:tc>
        <w:tc>
          <w:tcPr/>
          <w:p>
            <w:r>
              <w:rPr>
                <w:sz w:val="17"/>
              </w:rPr>
              <w:t>Calculation fields Used</w:t>
            </w:r>
          </w:p>
        </w:tc>
        <w:tc>
          <w:tcPr/>
          <w:p>
            <w:r>
              <w:rPr>
                <w:sz w:val="17"/>
              </w:rPr>
              <w:t>Tax percentage comparison and any calculated measures used in the workbook. Confirm exact calculated-field names from Tableau before submission; do not claim unverified formulas.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rPr>
                <w:sz w:val="17"/>
              </w:rPr>
              <w:t>5.</w:t>
            </w:r>
          </w:p>
        </w:tc>
        <w:tc>
          <w:tcPr/>
          <w:p>
            <w:r>
              <w:rPr>
                <w:sz w:val="17"/>
              </w:rPr>
              <w:t>Dashboard design</w:t>
            </w:r>
          </w:p>
        </w:tc>
        <w:tc>
          <w:tcPr/>
          <w:p>
            <w:r>
              <w:rPr>
                <w:sz w:val="17"/>
              </w:rPr>
              <w:t>Multiple comparison charts: petrol, diesel and LPG prices by country; Brent crude oil trend; tax percentage by country/region. Confirm the exact number of sheets/graphs in the published workbook.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rPr>
                <w:sz w:val="17"/>
              </w:rPr>
              <w:t>6.</w:t>
            </w:r>
          </w:p>
        </w:tc>
        <w:tc>
          <w:tcPr/>
          <w:p>
            <w:r>
              <w:rPr>
                <w:sz w:val="17"/>
              </w:rPr>
              <w:t>Story Design</w:t>
            </w:r>
          </w:p>
        </w:tc>
        <w:tc>
          <w:tcPr/>
          <w:p>
            <w:r>
              <w:rPr>
                <w:sz w:val="17"/>
              </w:rPr>
              <w:t>Story/dashboard sequence explains fuel price comparisons, crude oil trends and tax patterns. Attach a screenshot of the published story; if only a dashboard is published, state that no separate Story is included.</w:t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180975</wp:posOffset>
          </wp:positionH>
          <wp:positionV relativeFrom="page">
            <wp:posOffset>190500</wp:posOffset>
          </wp:positionV>
          <wp:extent cx="1376363" cy="58987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6753225</wp:posOffset>
          </wp:positionH>
          <wp:positionV relativeFrom="page">
            <wp:posOffset>285750</wp:posOffset>
          </wp:positionV>
          <wp:extent cx="864691" cy="395288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6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9MVufDLb9bQ/dgIzKU851J7Bgw==">CgMxLjA4AHIhMURSNERybmtaV2RXSjBKZ3hMc2hyeWxYVnl1X08wU3Vo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