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B3A5C"/>
          <w:sz w:val="32"/>
          <w:szCs w:val="32"/>
        </w:rPr>
        <w:t xml:space="preserve">Predictive Maintenance Intelligence</w:t>
      </w:r>
    </w:p>
    <w:p>
      <w:pPr>
        <w:spacing w:before="0" w:after="40"/>
      </w:pPr>
      <w:r>
        <w:rPr>
          <w:rFonts w:ascii="Arial" w:cs="Arial" w:eastAsia="Arial" w:hAnsi="Arial"/>
          <w:color w:val="555555"/>
          <w:sz w:val="20"/>
          <w:szCs w:val="20"/>
        </w:rPr>
        <w:t xml:space="preserve">ML-Powered Device Failure Prediction with AI Financial Decision Support</w:t>
      </w:r>
    </w:p>
    <w:p>
      <w:pPr>
        <w:pBdr>
          <w:bottom w:val="single" w:color="CCCCCC" w:sz="6" w:space="1"/>
        </w:pBdr>
        <w:spacing w:before="0" w:after="0"/>
      </w:pPr>
    </w:p>
    <w:p>
      <w:pPr>
        <w:spacing w:before="200" w:after="60"/>
      </w:pPr>
      <w:r>
        <w:rPr>
          <w:rFonts w:ascii="Arial" w:cs="Arial" w:eastAsia="Arial" w:hAnsi="Arial"/>
          <w:b/>
          <w:bCs/>
          <w:color w:val="1B3A5C"/>
          <w:sz w:val="22"/>
          <w:szCs w:val="22"/>
        </w:rPr>
        <w:t xml:space="preserve">Business Problem</w:t>
      </w:r>
    </w:p>
    <w:p>
      <w:pPr>
        <w:spacing w:before="0" w:after="100"/>
      </w:pPr>
      <w:r>
        <w:rPr>
          <w:rFonts w:ascii="Arial" w:cs="Arial" w:eastAsia="Arial" w:hAnsi="Arial"/>
          <w:color w:val="2D2D2D"/>
          <w:sz w:val="20"/>
          <w:szCs w:val="20"/>
        </w:rPr>
        <w:t xml:space="preserve">Device failures are managed reactively. When a device goes down, teams incur unplanned downtime, emergency repair costs at a premium, and SLA breach default charges. Maintenance is scheduled on fixed cycles rather than actual device health, meaning healthy devices are over-serviced and at-risk devices are missed. There is no current mechanism to anticipate failures before they happen.</w:t>
      </w:r>
    </w:p>
    <w:p>
      <w:pPr>
        <w:spacing w:before="200" w:after="60"/>
      </w:pPr>
      <w:r>
        <w:rPr>
          <w:rFonts w:ascii="Arial" w:cs="Arial" w:eastAsia="Arial" w:hAnsi="Arial"/>
          <w:b/>
          <w:bCs/>
          <w:color w:val="1B3A5C"/>
          <w:sz w:val="22"/>
          <w:szCs w:val="22"/>
        </w:rPr>
        <w:t xml:space="preserve">ML Problem Formulation</w:t>
      </w:r>
    </w:p>
    <w:p>
      <w:pPr>
        <w:spacing w:before="0" w:after="100"/>
      </w:pPr>
      <w:r>
        <w:rPr>
          <w:rFonts w:ascii="Arial" w:cs="Arial" w:eastAsia="Arial" w:hAnsi="Arial"/>
          <w:color w:val="2D2D2D"/>
          <w:sz w:val="20"/>
          <w:szCs w:val="20"/>
        </w:rPr>
        <w:t xml:space="preserve">This is a regression problem. Given a snapshot of device telemetry, the model predicts a continuous failure probability score between 0 and 1 for each device, representing its likelihood of failure within the next 7 days. A score, rather than a binary label, lets teams prioritise by severity. AutoGluon is used to automatically train and ensemble multiple model types and select the best performer. To prevent the accuracy illusion caused by imbalanced data where most devices are healthy, SMOTE oversampling is applied to the training set so the model learns equally from high-risk and low-risk devices.</w:t>
      </w:r>
    </w:p>
    <w:p>
      <w:pPr>
        <w:spacing w:before="200" w:after="60"/>
      </w:pPr>
      <w:r>
        <w:rPr>
          <w:rFonts w:ascii="Arial" w:cs="Arial" w:eastAsia="Arial" w:hAnsi="Arial"/>
          <w:b/>
          <w:bCs/>
          <w:color w:val="1B3A5C"/>
          <w:sz w:val="22"/>
          <w:szCs w:val="22"/>
        </w:rPr>
        <w:t xml:space="preserve">Model Input</w:t>
      </w:r>
    </w:p>
    <w:p>
      <w:pPr>
        <w:spacing w:before="0" w:after="100"/>
      </w:pPr>
      <w:r>
        <w:rPr>
          <w:rFonts w:ascii="Arial" w:cs="Arial" w:eastAsia="Arial" w:hAnsi="Arial"/>
          <w:color w:val="2D2D2D"/>
          <w:sz w:val="20"/>
          <w:szCs w:val="20"/>
        </w:rPr>
        <w:t xml:space="preserve">Each device is represented by 18 features collected from standard operational infrastructure:</w:t>
      </w:r>
    </w:p>
    <w:p>
      <w:pPr>
        <w:pStyle w:val="ListParagraph"/>
        <w:numPr>
          <w:ilvl w:val="0"/>
          <w:numId w:val="2"/>
        </w:numPr>
        <w:spacing w:before="30" w:after="30"/>
      </w:pPr>
      <w:r>
        <w:rPr>
          <w:rFonts w:ascii="Arial" w:cs="Arial" w:eastAsia="Arial" w:hAnsi="Arial"/>
          <w:b/>
          <w:bCs/>
          <w:sz w:val="20"/>
          <w:szCs w:val="20"/>
        </w:rPr>
        <w:t xml:space="preserve">Performance telemetry: </w:t>
      </w:r>
      <w:r>
        <w:rPr>
          <w:rFonts w:ascii="Arial" w:cs="Arial" w:eastAsia="Arial" w:hAnsi="Arial"/>
          <w:sz w:val="20"/>
          <w:szCs w:val="20"/>
        </w:rPr>
        <w:t xml:space="preserve">CPU utilisation, memory pressure, I/O wait, network latency, packet loss rate.</w:t>
      </w:r>
    </w:p>
    <w:p>
      <w:pPr>
        <w:pStyle w:val="ListParagraph"/>
        <w:numPr>
          <w:ilvl w:val="0"/>
          <w:numId w:val="2"/>
        </w:numPr>
        <w:spacing w:before="30" w:after="30"/>
      </w:pPr>
      <w:r>
        <w:rPr>
          <w:rFonts w:ascii="Arial" w:cs="Arial" w:eastAsia="Arial" w:hAnsi="Arial"/>
          <w:b/>
          <w:bCs/>
          <w:sz w:val="20"/>
          <w:szCs w:val="20"/>
        </w:rPr>
        <w:t xml:space="preserve">Thermal and power: </w:t>
      </w:r>
      <w:r>
        <w:rPr>
          <w:rFonts w:ascii="Arial" w:cs="Arial" w:eastAsia="Arial" w:hAnsi="Arial"/>
          <w:sz w:val="20"/>
          <w:szCs w:val="20"/>
        </w:rPr>
        <w:t xml:space="preserve">Temperature anomaly score, temperature variance, power cycle count.</w:t>
      </w:r>
    </w:p>
    <w:p>
      <w:pPr>
        <w:pStyle w:val="ListParagraph"/>
        <w:numPr>
          <w:ilvl w:val="0"/>
          <w:numId w:val="2"/>
        </w:numPr>
        <w:spacing w:before="30" w:after="30"/>
      </w:pPr>
      <w:r>
        <w:rPr>
          <w:rFonts w:ascii="Arial" w:cs="Arial" w:eastAsia="Arial" w:hAnsi="Arial"/>
          <w:b/>
          <w:bCs/>
          <w:sz w:val="20"/>
          <w:szCs w:val="20"/>
        </w:rPr>
        <w:t xml:space="preserve">Software and firmware: </w:t>
      </w:r>
      <w:r>
        <w:rPr>
          <w:rFonts w:ascii="Arial" w:cs="Arial" w:eastAsia="Arial" w:hAnsi="Arial"/>
          <w:sz w:val="20"/>
          <w:szCs w:val="20"/>
        </w:rPr>
        <w:t xml:space="preserve">Firmware version, software patch age in days.</w:t>
      </w:r>
    </w:p>
    <w:p>
      <w:pPr>
        <w:pStyle w:val="ListParagraph"/>
        <w:numPr>
          <w:ilvl w:val="0"/>
          <w:numId w:val="2"/>
        </w:numPr>
        <w:spacing w:before="30" w:after="30"/>
      </w:pPr>
      <w:r>
        <w:rPr>
          <w:rFonts w:ascii="Arial" w:cs="Arial" w:eastAsia="Arial" w:hAnsi="Arial"/>
          <w:b/>
          <w:bCs/>
          <w:sz w:val="20"/>
          <w:szCs w:val="20"/>
        </w:rPr>
        <w:t xml:space="preserve">Device and maintenance history: </w:t>
      </w:r>
      <w:r>
        <w:rPr>
          <w:rFonts w:ascii="Arial" w:cs="Arial" w:eastAsia="Arial" w:hAnsi="Arial"/>
          <w:sz w:val="20"/>
          <w:szCs w:val="20"/>
        </w:rPr>
        <w:t xml:space="preserve">Device age, days since last maintenance, reboot count over 7 days.</w:t>
      </w:r>
    </w:p>
    <w:p>
      <w:pPr>
        <w:pStyle w:val="ListParagraph"/>
        <w:numPr>
          <w:ilvl w:val="0"/>
          <w:numId w:val="2"/>
        </w:numPr>
        <w:spacing w:before="30" w:after="30"/>
      </w:pPr>
      <w:r>
        <w:rPr>
          <w:rFonts w:ascii="Arial" w:cs="Arial" w:eastAsia="Arial" w:hAnsi="Arial"/>
          <w:b/>
          <w:bCs/>
          <w:sz w:val="20"/>
          <w:szCs w:val="20"/>
        </w:rPr>
        <w:t xml:space="preserve">Incident history: </w:t>
      </w:r>
      <w:r>
        <w:rPr>
          <w:rFonts w:ascii="Arial" w:cs="Arial" w:eastAsia="Arial" w:hAnsi="Arial"/>
          <w:sz w:val="20"/>
          <w:szCs w:val="20"/>
        </w:rPr>
        <w:t xml:space="preserve">Historical incidents, outages, SLA breach history, error log rate.</w:t>
      </w:r>
    </w:p>
    <w:p>
      <w:pPr>
        <w:pStyle w:val="ListParagraph"/>
        <w:numPr>
          <w:ilvl w:val="0"/>
          <w:numId w:val="2"/>
        </w:numPr>
        <w:spacing w:before="30" w:after="30"/>
      </w:pPr>
      <w:r>
        <w:rPr>
          <w:rFonts w:ascii="Arial" w:cs="Arial" w:eastAsia="Arial" w:hAnsi="Arial"/>
          <w:b/>
          <w:bCs/>
          <w:sz w:val="20"/>
          <w:szCs w:val="20"/>
        </w:rPr>
        <w:t xml:space="preserve">Workload: </w:t>
      </w:r>
      <w:r>
        <w:rPr>
          <w:rFonts w:ascii="Arial" w:cs="Arial" w:eastAsia="Arial" w:hAnsi="Arial"/>
          <w:sz w:val="20"/>
          <w:szCs w:val="20"/>
        </w:rPr>
        <w:t xml:space="preserve">Workload intensity.</w:t>
      </w:r>
    </w:p>
    <w:p>
      <w:pPr>
        <w:spacing w:before="80" w:after="100"/>
      </w:pPr>
      <w:r>
        <w:rPr>
          <w:rFonts w:ascii="Arial" w:cs="Arial" w:eastAsia="Arial" w:hAnsi="Arial"/>
          <w:color w:val="2D2D2D"/>
          <w:sz w:val="20"/>
          <w:szCs w:val="20"/>
        </w:rPr>
        <w:t xml:space="preserve">All features are standard operational telemetry available in most enterprise environments through monitoring agents, ITSM platforms, and asset management systems. No proprietary or personal data is required.</w:t>
      </w:r>
    </w:p>
    <w:p>
      <w:pPr>
        <w:spacing w:before="200" w:after="60"/>
      </w:pPr>
      <w:r>
        <w:rPr>
          <w:rFonts w:ascii="Arial" w:cs="Arial" w:eastAsia="Arial" w:hAnsi="Arial"/>
          <w:b/>
          <w:bCs/>
          <w:color w:val="1B3A5C"/>
          <w:sz w:val="22"/>
          <w:szCs w:val="22"/>
        </w:rPr>
        <w:t xml:space="preserve">Model Output</w:t>
      </w:r>
    </w:p>
    <w:p>
      <w:pPr>
        <w:spacing w:before="0" w:after="100"/>
      </w:pPr>
      <w:r>
        <w:rPr>
          <w:rFonts w:ascii="Arial" w:cs="Arial" w:eastAsia="Arial" w:hAnsi="Arial"/>
          <w:color w:val="2D2D2D"/>
          <w:sz w:val="20"/>
          <w:szCs w:val="20"/>
        </w:rPr>
        <w:t xml:space="preserve">A single continuous score per device: failure_probability between 0.00 and 1.00. Scores below 0.35 indicate low risk; scores above 0.65 indicate high risk requiring intervention. The alert threshold is a configurable business parameter and can be tuned to balance recall against false alarms.</w:t>
      </w:r>
    </w:p>
    <w:p>
      <w:pPr>
        <w:spacing w:before="200" w:after="60"/>
      </w:pPr>
      <w:r>
        <w:rPr>
          <w:rFonts w:ascii="Arial" w:cs="Arial" w:eastAsia="Arial" w:hAnsi="Arial"/>
          <w:b/>
          <w:bCs/>
          <w:color w:val="1B3A5C"/>
          <w:sz w:val="22"/>
          <w:szCs w:val="22"/>
        </w:rPr>
        <w:t xml:space="preserve">Success Metrics</w:t>
      </w:r>
    </w:p>
    <w:p>
      <w:pPr>
        <w:spacing w:before="0" w:after="100"/>
      </w:pPr>
      <w:r>
        <w:rPr>
          <w:rFonts w:ascii="Arial" w:cs="Arial" w:eastAsia="Arial" w:hAnsi="Arial"/>
          <w:color w:val="2D2D2D"/>
          <w:sz w:val="20"/>
          <w:szCs w:val="20"/>
        </w:rPr>
        <w:t xml:space="preserve">Two metrics matter most for this problem: accuracy and recall. They measure different things and together give a complete picture of whether the model is both correct and safe to act on.</w:t>
      </w:r>
    </w:p>
    <w:p>
      <w:pPr>
        <w:pStyle w:val="ListParagraph"/>
        <w:numPr>
          <w:ilvl w:val="0"/>
          <w:numId w:val="2"/>
        </w:numPr>
        <w:spacing w:before="30" w:after="30"/>
      </w:pPr>
      <w:r>
        <w:rPr>
          <w:rFonts w:ascii="Arial" w:cs="Arial" w:eastAsia="Arial" w:hAnsi="Arial"/>
          <w:b/>
          <w:bCs/>
          <w:sz w:val="20"/>
          <w:szCs w:val="20"/>
        </w:rPr>
        <w:t xml:space="preserve">Accuracy (R-squared above 0.90): </w:t>
      </w:r>
      <w:r>
        <w:rPr>
          <w:rFonts w:ascii="Arial" w:cs="Arial" w:eastAsia="Arial" w:hAnsi="Arial"/>
          <w:sz w:val="20"/>
          <w:szCs w:val="20"/>
        </w:rPr>
        <w:t xml:space="preserve">Measures how well the model predicts the actual failure probability score. High accuracy means the scores the model produces are trustworthy and can be used to prioritise devices correctly. Without it, teams may act on misleading probabilities.</w:t>
      </w:r>
    </w:p>
    <w:p>
      <w:pPr>
        <w:pStyle w:val="ListParagraph"/>
        <w:numPr>
          <w:ilvl w:val="0"/>
          <w:numId w:val="2"/>
        </w:numPr>
        <w:spacing w:before="30" w:after="30"/>
      </w:pPr>
      <w:r>
        <w:rPr>
          <w:rFonts w:ascii="Arial" w:cs="Arial" w:eastAsia="Arial" w:hAnsi="Arial"/>
          <w:b/>
          <w:bCs/>
          <w:sz w:val="20"/>
          <w:szCs w:val="20"/>
        </w:rPr>
        <w:t xml:space="preserve">Recall above 85%: </w:t>
      </w:r>
      <w:r>
        <w:rPr>
          <w:rFonts w:ascii="Arial" w:cs="Arial" w:eastAsia="Arial" w:hAnsi="Arial"/>
          <w:sz w:val="20"/>
          <w:szCs w:val="20"/>
        </w:rPr>
        <w:t xml:space="preserve">Measures how many real failures the model catches before they happen. In this context, a missed failure is far more costly than a false alarm. A device incorrectly flagged as high risk results in an unnecessary maintenance check. A device incorrectly cleared as safe can result in an unplanned outage, SLA breach charges, and emergency repair costs. Recall ensures the model errs on the side of caution.</w:t>
      </w:r>
    </w:p>
    <w:p>
      <w:pPr>
        <w:spacing w:before="200" w:after="60"/>
      </w:pPr>
      <w:r>
        <w:rPr>
          <w:rFonts w:ascii="Arial" w:cs="Arial" w:eastAsia="Arial" w:hAnsi="Arial"/>
          <w:b/>
          <w:bCs/>
          <w:color w:val="1B3A5C"/>
          <w:sz w:val="22"/>
          <w:szCs w:val="22"/>
        </w:rPr>
        <w:t xml:space="preserve">Business Impact</w:t>
      </w:r>
    </w:p>
    <w:p>
      <w:pPr>
        <w:pStyle w:val="ListParagraph"/>
        <w:numPr>
          <w:ilvl w:val="0"/>
          <w:numId w:val="2"/>
        </w:numPr>
        <w:spacing w:before="30" w:after="30"/>
      </w:pPr>
      <w:r>
        <w:rPr>
          <w:rFonts w:ascii="Arial" w:cs="Arial" w:eastAsia="Arial" w:hAnsi="Arial"/>
          <w:b/>
          <w:bCs/>
          <w:sz w:val="20"/>
          <w:szCs w:val="20"/>
        </w:rPr>
        <w:t xml:space="preserve">Cost reduction: </w:t>
      </w:r>
      <w:r>
        <w:rPr>
          <w:rFonts w:ascii="Arial" w:cs="Arial" w:eastAsia="Arial" w:hAnsi="Arial"/>
          <w:sz w:val="20"/>
          <w:szCs w:val="20"/>
        </w:rPr>
        <w:t xml:space="preserve">Preventative maintenance costs a fraction of emergency response. Targeted scheduling eliminates unnecessary maintenance on healthy devices.</w:t>
      </w:r>
    </w:p>
    <w:p>
      <w:pPr>
        <w:pStyle w:val="ListParagraph"/>
        <w:numPr>
          <w:ilvl w:val="0"/>
          <w:numId w:val="2"/>
        </w:numPr>
        <w:spacing w:before="30" w:after="30"/>
      </w:pPr>
      <w:r>
        <w:rPr>
          <w:rFonts w:ascii="Arial" w:cs="Arial" w:eastAsia="Arial" w:hAnsi="Arial"/>
          <w:b/>
          <w:bCs/>
          <w:sz w:val="20"/>
          <w:szCs w:val="20"/>
        </w:rPr>
        <w:t xml:space="preserve">SLA protection: </w:t>
      </w:r>
      <w:r>
        <w:rPr>
          <w:rFonts w:ascii="Arial" w:cs="Arial" w:eastAsia="Arial" w:hAnsi="Arial"/>
          <w:sz w:val="20"/>
          <w:szCs w:val="20"/>
        </w:rPr>
        <w:t xml:space="preserve">Predicting failures within the service window allows teams to act before a breach occurs.</w:t>
      </w:r>
    </w:p>
    <w:p>
      <w:pPr>
        <w:pStyle w:val="ListParagraph"/>
        <w:numPr>
          <w:ilvl w:val="0"/>
          <w:numId w:val="2"/>
        </w:numPr>
        <w:spacing w:before="30" w:after="30"/>
      </w:pPr>
      <w:r>
        <w:rPr>
          <w:rFonts w:ascii="Arial" w:cs="Arial" w:eastAsia="Arial" w:hAnsi="Arial"/>
          <w:b/>
          <w:bCs/>
          <w:sz w:val="20"/>
          <w:szCs w:val="20"/>
        </w:rPr>
        <w:t xml:space="preserve">Operational efficiency: </w:t>
      </w:r>
      <w:r>
        <w:rPr>
          <w:rFonts w:ascii="Arial" w:cs="Arial" w:eastAsia="Arial" w:hAnsi="Arial"/>
          <w:sz w:val="20"/>
          <w:szCs w:val="20"/>
        </w:rPr>
        <w:t xml:space="preserve">Maintenance crews are deployed based on risk, not calendar cycles.</w:t>
      </w:r>
    </w:p>
    <w:p>
      <w:pPr>
        <w:spacing w:before="200" w:after="60"/>
      </w:pPr>
      <w:r>
        <w:rPr>
          <w:rFonts w:ascii="Arial" w:cs="Arial" w:eastAsia="Arial" w:hAnsi="Arial"/>
          <w:b/>
          <w:bCs/>
          <w:color w:val="1B3A5C"/>
          <w:sz w:val="22"/>
          <w:szCs w:val="22"/>
        </w:rPr>
        <w:t xml:space="preserve">Proposed Extension: AI Financial Decision Agent</w:t>
      </w:r>
    </w:p>
    <w:p>
      <w:pPr>
        <w:spacing w:before="0" w:after="100"/>
      </w:pPr>
      <w:r>
        <w:rPr>
          <w:rFonts w:ascii="Arial" w:cs="Arial" w:eastAsia="Arial" w:hAnsi="Arial"/>
          <w:color w:val="2D2D2D"/>
          <w:sz w:val="20"/>
          <w:szCs w:val="20"/>
        </w:rPr>
        <w:t xml:space="preserve">As part of this project, the failure probability score will serve as an input to an AI agent that performs financial analysis. For each at-risk device, the agent will compute the cost of inaction (expected downtime cost plus SLA breach default charges) against the cost of preventative maintenance, and generate a scheduling recommendation with a financial justification. Across the fleet, it will optimise the maintenance calendar to minimise total cost and align high-risk interventions with low-impact operational windows.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2026-03-08T21:24:35.041Z</dcterms:created>
  <dcterms:modified xsi:type="dcterms:W3CDTF">2026-03-08T21:24:35.042Z</dcterms:modified>
</cp:coreProperties>
</file>

<file path=docProps/custom.xml><?xml version="1.0" encoding="utf-8"?>
<Properties xmlns="http://schemas.openxmlformats.org/officeDocument/2006/custom-properties" xmlns:vt="http://schemas.openxmlformats.org/officeDocument/2006/docPropsVTypes"/>
</file>