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5250C">
      <w:pPr>
        <w:jc w:val="center"/>
        <w:rPr>
          <w:rFonts w:ascii="Cambria" w:hAnsi="Cambria" w:eastAsia="Cambria" w:cs="Cambria"/>
          <w:b/>
          <w:bCs/>
        </w:rPr>
      </w:pPr>
      <w:r>
        <w:drawing>
          <wp:inline distT="0" distB="0" distL="0" distR="0">
            <wp:extent cx="871220" cy="1047750"/>
            <wp:effectExtent l="0" t="0" r="508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1423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EB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Symbiosis Institute of Technology, Pune</w:t>
      </w:r>
    </w:p>
    <w:p w14:paraId="6E5C3334">
      <w:pPr>
        <w:jc w:val="center"/>
        <w:rPr>
          <w:rFonts w:ascii="Times New Roman" w:hAnsi="Times New Roman" w:eastAsia="Cambria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CSE-</w:t>
      </w:r>
      <w:r>
        <w:rPr>
          <w:rFonts w:ascii="Times New Roman" w:hAnsi="Times New Roman" w:eastAsia="Cambria" w:cs="Times New Roman"/>
          <w:b/>
          <w:bCs/>
          <w:sz w:val="24"/>
          <w:szCs w:val="24"/>
        </w:rPr>
        <w:t xml:space="preserve"> Academic Year 2026-27</w:t>
      </w:r>
    </w:p>
    <w:p w14:paraId="6225505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Java Programming – Lab   Batch 2025-29</w:t>
      </w:r>
    </w:p>
    <w:tbl>
      <w:tblPr>
        <w:tblStyle w:val="13"/>
        <w:tblW w:w="9350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7654"/>
      </w:tblGrid>
      <w:tr w14:paraId="425236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0" w:type="dxa"/>
            <w:gridSpan w:val="2"/>
          </w:tcPr>
          <w:p w14:paraId="4C89175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Lab Assignment No.: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  <w:t>7</w:t>
            </w:r>
          </w:p>
        </w:tc>
      </w:tr>
      <w:tr w14:paraId="3B60A2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0" w:type="dxa"/>
            <w:gridSpan w:val="2"/>
          </w:tcPr>
          <w:p w14:paraId="66F76167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</w:p>
        </w:tc>
      </w:tr>
      <w:tr w14:paraId="10ECC8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5529261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Name of Student</w:t>
            </w:r>
          </w:p>
        </w:tc>
        <w:tc>
          <w:tcPr>
            <w:tcW w:w="7654" w:type="dxa"/>
          </w:tcPr>
          <w:p w14:paraId="4BC6490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</w:t>
            </w:r>
            <w:r>
              <w:rPr>
                <w:rFonts w:hint="default" w:ascii="Times New Roman" w:hAnsi="Times New Roman" w:eastAsia="Times New Roman" w:cs="Times New Roman"/>
                <w:sz w:val="22"/>
                <w:szCs w:val="22"/>
                <w:lang w:val="en-US"/>
              </w:rPr>
              <w:t>kshit Gawade</w:t>
            </w:r>
          </w:p>
        </w:tc>
      </w:tr>
      <w:tr w14:paraId="6B81BF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66C7002A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PRN No.</w:t>
            </w:r>
          </w:p>
        </w:tc>
        <w:tc>
          <w:tcPr>
            <w:tcW w:w="7654" w:type="dxa"/>
          </w:tcPr>
          <w:p w14:paraId="7B5E4B7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2507012202</w:t>
            </w:r>
            <w:r>
              <w:rPr>
                <w:rFonts w:hint="default" w:ascii="Times New Roman" w:hAnsi="Times New Roman" w:eastAsia="Times New Roman" w:cs="Times New Roman"/>
                <w:sz w:val="22"/>
                <w:szCs w:val="22"/>
                <w:lang w:val="en-US"/>
              </w:rPr>
              <w:t>9</w:t>
            </w:r>
          </w:p>
        </w:tc>
      </w:tr>
      <w:tr w14:paraId="5EFC17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6B9DEAAB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Batch</w:t>
            </w:r>
          </w:p>
        </w:tc>
        <w:tc>
          <w:tcPr>
            <w:tcW w:w="7654" w:type="dxa"/>
          </w:tcPr>
          <w:p w14:paraId="2440A4B9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2025-2029</w:t>
            </w:r>
          </w:p>
        </w:tc>
      </w:tr>
      <w:tr w14:paraId="4DAF75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828636B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Class</w:t>
            </w:r>
          </w:p>
        </w:tc>
        <w:tc>
          <w:tcPr>
            <w:tcW w:w="7654" w:type="dxa"/>
          </w:tcPr>
          <w:p w14:paraId="107AAF9B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A1</w:t>
            </w:r>
          </w:p>
        </w:tc>
      </w:tr>
      <w:tr w14:paraId="16DF78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5F3A643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Academic Year &amp; Semester</w:t>
            </w:r>
          </w:p>
        </w:tc>
        <w:tc>
          <w:tcPr>
            <w:tcW w:w="7654" w:type="dxa"/>
          </w:tcPr>
          <w:p w14:paraId="1DBB4307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Second Year</w:t>
            </w:r>
          </w:p>
          <w:p w14:paraId="5E239A33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Semester III</w:t>
            </w:r>
          </w:p>
        </w:tc>
      </w:tr>
      <w:tr w14:paraId="55C994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162E4914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Date of Submission</w:t>
            </w:r>
          </w:p>
        </w:tc>
        <w:tc>
          <w:tcPr>
            <w:tcW w:w="7654" w:type="dxa"/>
          </w:tcPr>
          <w:p w14:paraId="08B6543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2"/>
                <w:szCs w:val="22"/>
                <w:lang w:val="en-US"/>
              </w:rPr>
              <w:t>11/7/2026</w:t>
            </w:r>
          </w:p>
        </w:tc>
      </w:tr>
      <w:tr w14:paraId="1C29CF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0" w:type="dxa"/>
            <w:gridSpan w:val="2"/>
          </w:tcPr>
          <w:p w14:paraId="3154C582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</w:p>
        </w:tc>
      </w:tr>
      <w:tr w14:paraId="236C14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B04F309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Title of Assignment:</w:t>
            </w:r>
          </w:p>
        </w:tc>
        <w:tc>
          <w:tcPr>
            <w:tcW w:w="7654" w:type="dxa"/>
          </w:tcPr>
          <w:p w14:paraId="57EC68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Implement a Java program to demonstrate inheritance and interfaces using suitable real-world examples. </w:t>
            </w:r>
          </w:p>
        </w:tc>
      </w:tr>
      <w:tr w14:paraId="5DBF72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6CC8A7A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Theory</w:t>
            </w:r>
          </w:p>
        </w:tc>
        <w:tc>
          <w:tcPr>
            <w:tcW w:w="7654" w:type="dxa"/>
          </w:tcPr>
          <w:p w14:paraId="567D232B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Inheritance allows one class to acquire the properties and methods of another class, promoting code reuse and reducing redundancy. Java supports single inheritance through the extends keyword. Interfaces define a contract that implementing classes must follow, enabling abstraction and multiple inheritance of type. Together, inheritance and interfaces support polymorphism and modular software development. They are fundamental concepts of object-oriented programming</w:t>
            </w:r>
          </w:p>
          <w:p w14:paraId="07F35337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14:paraId="27DC296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524B6FF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  <w:t>Program Code</w:t>
            </w:r>
          </w:p>
        </w:tc>
        <w:tc>
          <w:tcPr>
            <w:tcW w:w="7654" w:type="dxa"/>
          </w:tcPr>
          <w:p w14:paraId="30D3954E">
            <w:pPr>
              <w:numPr>
                <w:ilvl w:val="0"/>
                <w:numId w:val="1"/>
              </w:numPr>
              <w:spacing w:after="0" w:line="276" w:lineRule="auto"/>
              <w:jc w:val="both"/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br w:type="textWrapping"/>
            </w:r>
            <w:r>
              <w:drawing>
                <wp:inline distT="0" distB="0" distL="114300" distR="114300">
                  <wp:extent cx="2940050" cy="2190750"/>
                  <wp:effectExtent l="0" t="0" r="6350" b="6350"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050" cy="219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64F87F">
            <w:pPr>
              <w:numPr>
                <w:numId w:val="0"/>
              </w:numPr>
              <w:spacing w:after="0" w:line="276" w:lineRule="auto"/>
              <w:jc w:val="both"/>
              <w:rPr>
                <w:rFonts w:hint="default"/>
                <w:lang w:val="en-US"/>
              </w:rPr>
            </w:pPr>
          </w:p>
          <w:p w14:paraId="373D5C00">
            <w:pPr>
              <w:numPr>
                <w:numId w:val="0"/>
              </w:numPr>
              <w:spacing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2.</w:t>
            </w:r>
          </w:p>
          <w:p w14:paraId="54528473">
            <w:pPr>
              <w:numPr>
                <w:numId w:val="0"/>
              </w:numPr>
              <w:spacing w:after="0" w:line="276" w:lineRule="auto"/>
              <w:jc w:val="both"/>
              <w:rPr>
                <w:rFonts w:hint="default"/>
                <w:lang w:val="en-US"/>
              </w:rPr>
            </w:pPr>
            <w:r>
              <w:drawing>
                <wp:inline distT="0" distB="0" distL="114300" distR="114300">
                  <wp:extent cx="2616200" cy="2286000"/>
                  <wp:effectExtent l="0" t="0" r="0" b="0"/>
                  <wp:docPr id="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20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E99E4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1" w:hRule="atLeast"/>
          <w:jc w:val="center"/>
        </w:trPr>
        <w:tc>
          <w:tcPr>
            <w:tcW w:w="1696" w:type="dxa"/>
          </w:tcPr>
          <w:p w14:paraId="1335798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  <w:t>Output Screenshots</w:t>
            </w:r>
          </w:p>
        </w:tc>
        <w:tc>
          <w:tcPr>
            <w:tcW w:w="7654" w:type="dxa"/>
          </w:tcPr>
          <w:p w14:paraId="68089BE7">
            <w:pPr>
              <w:shd w:val="clear" w:color="auto" w:fill="FFFFFF"/>
              <w:spacing w:after="0" w:line="285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drawing>
                <wp:inline distT="0" distB="0" distL="114300" distR="114300">
                  <wp:extent cx="4703445" cy="1060450"/>
                  <wp:effectExtent l="0" t="0" r="8255" b="635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3445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EB7336">
            <w:pPr>
              <w:shd w:val="clear" w:color="auto" w:fill="FFFFFF"/>
              <w:spacing w:after="0" w:line="285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drawing>
                <wp:inline distT="0" distB="0" distL="114300" distR="114300">
                  <wp:extent cx="4730750" cy="915670"/>
                  <wp:effectExtent l="0" t="0" r="6350" b="11430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750" cy="915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681BE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1" w:hRule="atLeast"/>
          <w:jc w:val="center"/>
        </w:trPr>
        <w:tc>
          <w:tcPr>
            <w:tcW w:w="1696" w:type="dxa"/>
          </w:tcPr>
          <w:p w14:paraId="0151A01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  <w:t>Exercise Qns</w:t>
            </w:r>
          </w:p>
        </w:tc>
        <w:tc>
          <w:tcPr>
            <w:tcW w:w="7654" w:type="dxa"/>
          </w:tcPr>
          <w:p w14:paraId="7C9ADB3E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Create a Shape application where Circle and Rectangle inherit from Shape and calculate area. </w:t>
            </w:r>
          </w:p>
          <w:p w14:paraId="28D88788">
            <w:pPr>
              <w:numPr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drawing>
                <wp:inline distT="0" distB="0" distL="114300" distR="114300">
                  <wp:extent cx="3873500" cy="3511550"/>
                  <wp:effectExtent l="0" t="0" r="0" b="6350"/>
                  <wp:docPr id="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3500" cy="351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DEF8CB">
            <w:pPr>
              <w:numPr>
                <w:ilvl w:val="0"/>
                <w:numId w:val="2"/>
              </w:numPr>
              <w:spacing w:after="0" w:line="240" w:lineRule="auto"/>
              <w:ind w:left="0" w:leftChars="0" w:firstLine="0" w:firstLineChars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Develop a E-Commerce Product System where electronic, clothing, and grocery products inherit common properties and implement product interfaces.</w:t>
            </w:r>
          </w:p>
          <w:p w14:paraId="2F7696DB">
            <w:pPr>
              <w:numPr>
                <w:numId w:val="0"/>
              </w:numPr>
              <w:spacing w:after="0" w:line="240" w:lineRule="auto"/>
              <w:ind w:leftChars="0"/>
            </w:pPr>
            <w:r>
              <w:drawing>
                <wp:inline distT="0" distB="0" distL="114300" distR="114300">
                  <wp:extent cx="3067050" cy="4292600"/>
                  <wp:effectExtent l="0" t="0" r="6350" b="0"/>
                  <wp:docPr id="1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0" cy="429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3F8EBF">
            <w:pPr>
              <w:numPr>
                <w:numId w:val="0"/>
              </w:numPr>
              <w:spacing w:after="0" w:line="240" w:lineRule="auto"/>
              <w:ind w:leftChars="0"/>
            </w:pPr>
            <w:r>
              <w:drawing>
                <wp:inline distT="0" distB="0" distL="114300" distR="114300">
                  <wp:extent cx="3987800" cy="3333750"/>
                  <wp:effectExtent l="0" t="0" r="0" b="6350"/>
                  <wp:docPr id="1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780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388B02">
            <w:pPr>
              <w:shd w:val="clear" w:color="auto" w:fill="FFFFFF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</w:p>
        </w:tc>
      </w:tr>
      <w:tr w14:paraId="112E7A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A867D74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Output Screenshots</w:t>
            </w:r>
          </w:p>
        </w:tc>
        <w:tc>
          <w:tcPr>
            <w:tcW w:w="7654" w:type="dxa"/>
          </w:tcPr>
          <w:p w14:paraId="4AB15C4B">
            <w:pPr>
              <w:pStyle w:val="2"/>
              <w:keepNext w:val="0"/>
              <w:keepLines w:val="0"/>
              <w:tabs>
                <w:tab w:val="left" w:pos="2120"/>
              </w:tabs>
              <w:spacing w:before="0"/>
              <w:jc w:val="both"/>
              <w:rPr>
                <w:sz w:val="22"/>
                <w:szCs w:val="22"/>
              </w:rPr>
            </w:pPr>
            <w:bookmarkStart w:id="0" w:name="_heading=h.gjdgxs" w:colFirst="0" w:colLast="0"/>
            <w:bookmarkEnd w:id="0"/>
            <w:r>
              <w:rPr>
                <w:sz w:val="22"/>
                <w:szCs w:val="22"/>
              </w:rPr>
              <w:drawing>
                <wp:inline distT="0" distB="0" distL="114300" distR="114300">
                  <wp:extent cx="4689475" cy="1243965"/>
                  <wp:effectExtent l="0" t="0" r="9525" b="635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9475" cy="1243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37DDCE">
            <w:pPr>
              <w:rPr>
                <w:sz w:val="22"/>
                <w:szCs w:val="22"/>
              </w:rPr>
            </w:pPr>
            <w:bookmarkStart w:id="1" w:name="_GoBack"/>
            <w:r>
              <w:rPr>
                <w:sz w:val="22"/>
                <w:szCs w:val="22"/>
              </w:rPr>
              <w:drawing>
                <wp:inline distT="0" distB="0" distL="114300" distR="114300">
                  <wp:extent cx="4572635" cy="2665730"/>
                  <wp:effectExtent l="0" t="0" r="12065" b="1270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35" cy="2665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</w:tr>
      <w:tr w14:paraId="2AD684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3F2B82E4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Conclusion</w:t>
            </w:r>
          </w:p>
        </w:tc>
        <w:tc>
          <w:tcPr>
            <w:tcW w:w="7654" w:type="dxa"/>
          </w:tcPr>
          <w:p w14:paraId="1888E47D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In this experiment, we implemented the concepts of inheritance and interfaces. We learnt the use of keyword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extends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and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implements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</w:tbl>
    <w:p w14:paraId="02AEA313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E1FACE41-FFD0-4E06-B876-E333846F13B8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61732CCE-2F7B-4D30-9D89-39C5436F203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2D789BAA-EAF4-4B8B-92CB-2571E2498D80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33539844-FA2C-4F84-9205-D6DBEC2D28E9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37285888-4DB2-4F31-AC8D-BEA66443156D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6" w:fontKey="{260A192B-7147-42FC-AD60-1EF56D733778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82931B"/>
    <w:multiLevelType w:val="singleLevel"/>
    <w:tmpl w:val="0F82931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F0C09AF"/>
    <w:multiLevelType w:val="singleLevel"/>
    <w:tmpl w:val="2F0C09A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A63"/>
    <w:rsid w:val="006A2A63"/>
    <w:rsid w:val="007538D3"/>
    <w:rsid w:val="007B4089"/>
    <w:rsid w:val="009765AA"/>
    <w:rsid w:val="00A5554E"/>
    <w:rsid w:val="00A645C3"/>
    <w:rsid w:val="00EB286A"/>
    <w:rsid w:val="41C30150"/>
    <w:rsid w:val="42746C0F"/>
    <w:rsid w:val="55225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 w:line="276" w:lineRule="auto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8R1GdfimiU8YwLimobzTX3Oauw==">CgMxLjAyCGguZ2pkZ3hzOAByITFTZF9xQ2VzX2ZMQnVLNnRRSE16ZGRYNGZYZ2drYmlBQQ==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customXml/itemProps2.xml><?xml version="1.0" encoding="utf-8"?>
<ds:datastoreItem xmlns:ds="http://schemas.openxmlformats.org/officeDocument/2006/customXml" ds:itemID="{4EDCA7E0-3463-4269-A947-3841578DF61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180</Words>
  <Characters>1137</Characters>
  <Lines>3</Lines>
  <Paragraphs>1</Paragraphs>
  <TotalTime>2</TotalTime>
  <ScaleCrop>false</ScaleCrop>
  <LinksUpToDate>false</LinksUpToDate>
  <CharactersWithSpaces>1294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2026-08-01T09:10:00Z</dcterms:created>
  <dc:creator>Nilima</dc:creator>
  <cp:lastModifiedBy>hi</cp:lastModifiedBy>
  <dcterms:modified xsi:type="dcterms:W3CDTF">2026-08-04T17:32:27Z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ac93481dadbf11855dbc6038ba911e5cf0441e3b0bae5ab94ee3a461feccc6f9</vt:lpwstr>
  </property>
  <property fmtid="{D5CDD505-2E9C-101B-9397-08002B2CF9AE}" pid="3" name="KSOTemplateDocerSaveRecord">
    <vt:lpwstr>eyJoZGlkIjoiNmNjZTM1MDFjMzExNDU2NzczODQ3N2YzYWY2MmYxMWEiLCJ1c2VySWQiOiI1Njc2NTc4NTM3MzAifQ==</vt:lpwstr>
  </property>
  <property fmtid="{D5CDD505-2E9C-101B-9397-08002B2CF9AE}" pid="4" name="KSOProductBuildVer">
    <vt:lpwstr>1033-12.1.0.28032</vt:lpwstr>
  </property>
  <property fmtid="{D5CDD505-2E9C-101B-9397-08002B2CF9AE}" pid="5" name="ICV">
    <vt:lpwstr>965340FFAC9E4FD690D496076931BB6E_13</vt:lpwstr>
  </property>
</Properties>
</file>