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4E79"/>
          <w:sz w:val="56"/>
          <w:szCs w:val="56"/>
        </w:rPr>
        <w:t xml:space="preserve">CREDIT RISK ANALYTICS</w:t>
      </w:r>
    </w:p>
    <w:p>
      <w:pPr>
        <w:spacing w:after="180" w:before="180"/>
        <w:jc w:val="center"/>
      </w:pPr>
      <w:r>
        <w:rPr>
          <w:rFonts w:ascii="Arial" w:cs="Arial" w:eastAsia="Arial" w:hAnsi="Arial"/>
          <w:color w:val="2E75B6"/>
          <w:sz w:val="36"/>
          <w:szCs w:val="36"/>
        </w:rPr>
        <w:t xml:space="preserve">SQL Stage — Complete</w:t>
      </w:r>
    </w:p>
    <w:p>
      <w:pPr>
        <w:jc w:val="center"/>
      </w:pPr>
      <w:r>
        <w:rPr>
          <w:rFonts w:ascii="Arial" w:cs="Arial" w:eastAsia="Arial" w:hAnsi="Arial"/>
          <w:i/>
          <w:iCs/>
          <w:color w:val="888888"/>
          <w:sz w:val="24"/>
          <w:szCs w:val="24"/>
        </w:rPr>
        <w:t xml:space="preserve">Home Credit Default Risk  |  PostgreSQL  |  pgAdmin 4  |  VS Code</w:t>
      </w:r>
    </w:p>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40"/>
              <w:left w:type="dxa" w:w="160"/>
              <w:bottom w:type="dxa" w:w="140"/>
              <w:right w:type="dxa" w:w="160"/>
            </w:tcMar>
          </w:tcPr>
          <w:p>
            <w:pPr>
              <w:spacing w:after="60"/>
            </w:pPr>
            <w:r>
              <w:rPr>
                <w:rFonts w:ascii="Arial" w:cs="Arial" w:eastAsia="Arial" w:hAnsi="Arial"/>
                <w:b/>
                <w:bCs/>
                <w:color w:val="1F4E79"/>
                <w:sz w:val="20"/>
                <w:szCs w:val="20"/>
              </w:rPr>
              <w:t xml:space="preserve">Dataset</w:t>
            </w:r>
          </w:p>
          <w:p>
            <w:r>
              <w:rPr>
                <w:rFonts w:ascii="Arial" w:cs="Arial" w:eastAsia="Arial" w:hAnsi="Arial"/>
                <w:color w:val="2D2D2D"/>
                <w:sz w:val="20"/>
                <w:szCs w:val="20"/>
              </w:rPr>
              <w:t xml:space="preserve">Home Credit Default Risk (Kaggle)</w:t>
            </w:r>
          </w:p>
        </w:tc>
        <w:tc>
          <w:tcPr>
            <w:tcW w:type="dxa" w:w="2340"/>
            <w:tcBorders>
              <w:top w:val="single" w:color="CCCCCC" w:sz="1"/>
              <w:left w:val="single" w:color="CCCCCC" w:sz="1"/>
              <w:bottom w:val="single" w:color="CCCCCC" w:sz="1"/>
              <w:right w:val="single" w:color="CCCCCC" w:sz="1"/>
            </w:tcBorders>
            <w:shd w:fill="EBF3FB" w:val="clear"/>
            <w:tcMar>
              <w:top w:type="dxa" w:w="140"/>
              <w:left w:type="dxa" w:w="160"/>
              <w:bottom w:type="dxa" w:w="140"/>
              <w:right w:type="dxa" w:w="160"/>
            </w:tcMar>
          </w:tcPr>
          <w:p>
            <w:pPr>
              <w:spacing w:after="60"/>
            </w:pPr>
            <w:r>
              <w:rPr>
                <w:rFonts w:ascii="Arial" w:cs="Arial" w:eastAsia="Arial" w:hAnsi="Arial"/>
                <w:b/>
                <w:bCs/>
                <w:color w:val="1F4E79"/>
                <w:sz w:val="20"/>
                <w:szCs w:val="20"/>
              </w:rPr>
              <w:t xml:space="preserve">Total Records</w:t>
            </w:r>
          </w:p>
          <w:p>
            <w:r>
              <w:rPr>
                <w:rFonts w:ascii="Arial" w:cs="Arial" w:eastAsia="Arial" w:hAnsi="Arial"/>
                <w:color w:val="2D2D2D"/>
                <w:sz w:val="20"/>
                <w:szCs w:val="20"/>
              </w:rPr>
              <w:t xml:space="preserve">17.3M rows across 4 tables</w:t>
            </w:r>
          </w:p>
        </w:tc>
        <w:tc>
          <w:tcPr>
            <w:tcW w:type="dxa" w:w="2340"/>
            <w:tcBorders>
              <w:top w:val="single" w:color="CCCCCC" w:sz="1"/>
              <w:left w:val="single" w:color="CCCCCC" w:sz="1"/>
              <w:bottom w:val="single" w:color="CCCCCC" w:sz="1"/>
              <w:right w:val="single" w:color="CCCCCC" w:sz="1"/>
            </w:tcBorders>
            <w:shd w:fill="EBF3FB" w:val="clear"/>
            <w:tcMar>
              <w:top w:type="dxa" w:w="140"/>
              <w:left w:type="dxa" w:w="160"/>
              <w:bottom w:type="dxa" w:w="140"/>
              <w:right w:type="dxa" w:w="160"/>
            </w:tcMar>
          </w:tcPr>
          <w:p>
            <w:pPr>
              <w:spacing w:after="60"/>
            </w:pPr>
            <w:r>
              <w:rPr>
                <w:rFonts w:ascii="Arial" w:cs="Arial" w:eastAsia="Arial" w:hAnsi="Arial"/>
                <w:b/>
                <w:bCs/>
                <w:color w:val="1F4E79"/>
                <w:sz w:val="20"/>
                <w:szCs w:val="20"/>
              </w:rPr>
              <w:t xml:space="preserve">Applicants</w:t>
            </w:r>
          </w:p>
          <w:p>
            <w:r>
              <w:rPr>
                <w:rFonts w:ascii="Arial" w:cs="Arial" w:eastAsia="Arial" w:hAnsi="Arial"/>
                <w:color w:val="2D2D2D"/>
                <w:sz w:val="20"/>
                <w:szCs w:val="20"/>
              </w:rPr>
              <w:t xml:space="preserve">307,511 loan profiles</w:t>
            </w:r>
          </w:p>
        </w:tc>
        <w:tc>
          <w:tcPr>
            <w:tcW w:type="dxa" w:w="2340"/>
            <w:tcBorders>
              <w:top w:val="single" w:color="CCCCCC" w:sz="1"/>
              <w:left w:val="single" w:color="CCCCCC" w:sz="1"/>
              <w:bottom w:val="single" w:color="CCCCCC" w:sz="1"/>
              <w:right w:val="single" w:color="CCCCCC" w:sz="1"/>
            </w:tcBorders>
            <w:shd w:fill="EBF3FB" w:val="clear"/>
            <w:tcMar>
              <w:top w:type="dxa" w:w="140"/>
              <w:left w:type="dxa" w:w="160"/>
              <w:bottom w:type="dxa" w:w="140"/>
              <w:right w:type="dxa" w:w="160"/>
            </w:tcMar>
          </w:tcPr>
          <w:p>
            <w:pPr>
              <w:spacing w:after="60"/>
            </w:pPr>
            <w:r>
              <w:rPr>
                <w:rFonts w:ascii="Arial" w:cs="Arial" w:eastAsia="Arial" w:hAnsi="Arial"/>
                <w:b/>
                <w:bCs/>
                <w:color w:val="1F4E79"/>
                <w:sz w:val="20"/>
                <w:szCs w:val="20"/>
              </w:rPr>
              <w:t xml:space="preserve">Project Stage</w:t>
            </w:r>
          </w:p>
          <w:p>
            <w:r>
              <w:rPr>
                <w:rFonts w:ascii="Arial" w:cs="Arial" w:eastAsia="Arial" w:hAnsi="Arial"/>
                <w:color w:val="2D2D2D"/>
                <w:sz w:val="20"/>
                <w:szCs w:val="20"/>
              </w:rPr>
              <w:t xml:space="preserve">Stage 1 of 3 SQL — Complete</w:t>
            </w:r>
          </w:p>
        </w:tc>
      </w:tr>
    </w:tbl>
    <w:p>
      <w:pPr>
        <w:spacing w:after="80" w:before="80"/>
      </w:pPr>
      <w:r>
        <w:t xml:space="preserve"/>
      </w:r>
    </w:p>
    <w:p>
      <w:r>
        <w:br w:type="page"/>
      </w:r>
    </w:p>
    <w:p>
      <w:pPr>
        <w:pStyle w:val="Heading1"/>
        <w:pBdr>
          <w:bottom w:val="single" w:color="1F4E79" w:sz="6" w:space="1"/>
        </w:pBdr>
        <w:spacing w:after="200" w:before="360"/>
      </w:pPr>
      <w:r>
        <w:rPr>
          <w:rFonts w:ascii="Arial" w:cs="Arial" w:eastAsia="Arial" w:hAnsi="Arial"/>
          <w:b/>
          <w:bCs/>
          <w:color w:val="1F4E79"/>
          <w:sz w:val="32"/>
          <w:szCs w:val="32"/>
        </w:rPr>
        <w:t xml:space="preserve">1. Project Overview</w:t>
      </w:r>
    </w:p>
    <w:p>
      <w:pPr>
        <w:spacing w:after="80" w:before="80"/>
        <w:jc w:val="left"/>
      </w:pPr>
      <w:r>
        <w:rPr>
          <w:rFonts w:ascii="Arial" w:cs="Arial" w:eastAsia="Arial" w:hAnsi="Arial"/>
          <w:b w:val="false"/>
          <w:bCs w:val="false"/>
          <w:i w:val="false"/>
          <w:iCs w:val="false"/>
          <w:color w:val="2D2D2D"/>
          <w:sz w:val="22"/>
          <w:szCs w:val="22"/>
        </w:rPr>
        <w:t xml:space="preserve">This report documents the completed SQL stage of a three-tool credit risk analytics portfolio project. The goal is to demonstrate end-to-end analytical thinking — from raw data engineering through to a live dashboard — using industry-standard tools and real-world financial data.</w:t>
      </w:r>
    </w:p>
    <w:p>
      <w:pPr>
        <w:spacing w:after="80" w:before="80"/>
      </w:pPr>
      <w:r>
        <w:t xml:space="preserve"/>
      </w:r>
    </w:p>
    <w:p>
      <w:pPr>
        <w:pStyle w:val="Heading2"/>
        <w:spacing w:after="140" w:before="260"/>
      </w:pPr>
      <w:r>
        <w:rPr>
          <w:rFonts w:ascii="Arial" w:cs="Arial" w:eastAsia="Arial" w:hAnsi="Arial"/>
          <w:b/>
          <w:bCs/>
          <w:color w:val="2E75B6"/>
          <w:sz w:val="26"/>
          <w:szCs w:val="26"/>
        </w:rPr>
        <w:t xml:space="preserve">1.1 Objective</w:t>
      </w:r>
    </w:p>
    <w:p>
      <w:pPr>
        <w:spacing w:after="80" w:before="80"/>
        <w:jc w:val="left"/>
      </w:pPr>
      <w:r>
        <w:rPr>
          <w:rFonts w:ascii="Arial" w:cs="Arial" w:eastAsia="Arial" w:hAnsi="Arial"/>
          <w:b w:val="false"/>
          <w:bCs w:val="false"/>
          <w:i w:val="false"/>
          <w:iCs w:val="false"/>
          <w:color w:val="2D2D2D"/>
          <w:sz w:val="22"/>
          <w:szCs w:val="22"/>
        </w:rPr>
        <w:t xml:space="preserve">Analyse loan default behaviour across 307,511 applicants from the Home Credit Default Risk dataset, build a reusable multi-table data pipeline, identify high-risk borrower profiles, calculate Expected Loss at segment and portfolio level, and produce a clean risk_summary view that serves as the single source of truth for Excel and Power BI.</w:t>
      </w:r>
    </w:p>
    <w:p>
      <w:pPr>
        <w:spacing w:after="80" w:before="80"/>
      </w:pPr>
      <w:r>
        <w:t xml:space="preserve"/>
      </w:r>
    </w:p>
    <w:p>
      <w:pPr>
        <w:pStyle w:val="Heading2"/>
        <w:spacing w:after="140" w:before="260"/>
      </w:pPr>
      <w:r>
        <w:rPr>
          <w:rFonts w:ascii="Arial" w:cs="Arial" w:eastAsia="Arial" w:hAnsi="Arial"/>
          <w:b/>
          <w:bCs/>
          <w:color w:val="2E75B6"/>
          <w:sz w:val="26"/>
          <w:szCs w:val="26"/>
        </w:rPr>
        <w:t xml:space="preserve">1.2 Three-Tool Pipeline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Stage 1 — Data Engineering &amp; EDA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SQL (PostgreSQL)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Complete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4 staging tables + risk_summary view + 6 insights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Stage 2 — Financial Modelling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Excel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Upcoming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Risk scorecard, EL model, stress scenarios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Stage 3 — Interactive Dashboard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Power BI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Upcoming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KPI dashboard + drill-through risk segmentation</w:t>
            </w:r>
          </w:p>
        </w:tc>
      </w:tr>
    </w:tbl>
    <w:p>
      <w:pPr>
        <w:spacing w:after="80" w:before="80"/>
      </w:pPr>
      <w:r>
        <w:t xml:space="preserve"/>
      </w:r>
    </w:p>
    <w:p>
      <w:pPr>
        <w:pStyle w:val="Heading2"/>
        <w:spacing w:after="140" w:before="260"/>
      </w:pPr>
      <w:r>
        <w:rPr>
          <w:rFonts w:ascii="Arial" w:cs="Arial" w:eastAsia="Arial" w:hAnsi="Arial"/>
          <w:b/>
          <w:bCs/>
          <w:color w:val="2E75B6"/>
          <w:sz w:val="26"/>
          <w:szCs w:val="26"/>
        </w:rPr>
        <w:t xml:space="preserve">1.3 Tools &amp; Environment</w:t>
      </w:r>
    </w:p>
    <w:p>
      <w:pPr>
        <w:pStyle w:val="ListParagraph"/>
        <w:numPr>
          <w:ilvl w:val="0"/>
          <w:numId w:val="2"/>
        </w:numPr>
        <w:spacing w:after="60" w:before="60"/>
      </w:pPr>
      <w:r>
        <w:rPr>
          <w:rFonts w:ascii="Arial" w:cs="Arial" w:eastAsia="Arial" w:hAnsi="Arial"/>
          <w:b/>
          <w:bCs/>
          <w:color w:val="1F4E79"/>
          <w:sz w:val="22"/>
          <w:szCs w:val="22"/>
        </w:rPr>
        <w:t xml:space="preserve">PostgreSQL 15</w:t>
      </w:r>
      <w:r>
        <w:rPr>
          <w:rFonts w:ascii="Arial" w:cs="Arial" w:eastAsia="Arial" w:hAnsi="Arial"/>
          <w:color w:val="2D2D2D"/>
          <w:sz w:val="22"/>
          <w:szCs w:val="22"/>
        </w:rPr>
        <w:t xml:space="preserve"> — relational database engine</w:t>
      </w:r>
    </w:p>
    <w:p>
      <w:pPr>
        <w:pStyle w:val="ListParagraph"/>
        <w:numPr>
          <w:ilvl w:val="0"/>
          <w:numId w:val="2"/>
        </w:numPr>
        <w:spacing w:after="60" w:before="60"/>
      </w:pPr>
      <w:r>
        <w:rPr>
          <w:rFonts w:ascii="Arial" w:cs="Arial" w:eastAsia="Arial" w:hAnsi="Arial"/>
          <w:b/>
          <w:bCs/>
          <w:color w:val="1F4E79"/>
          <w:sz w:val="22"/>
          <w:szCs w:val="22"/>
        </w:rPr>
        <w:t xml:space="preserve">pgAdmin 4</w:t>
      </w:r>
      <w:r>
        <w:rPr>
          <w:rFonts w:ascii="Arial" w:cs="Arial" w:eastAsia="Arial" w:hAnsi="Arial"/>
          <w:color w:val="2D2D2D"/>
          <w:sz w:val="22"/>
          <w:szCs w:val="22"/>
        </w:rPr>
        <w:t xml:space="preserve"> — query execution and database management</w:t>
      </w:r>
    </w:p>
    <w:p>
      <w:pPr>
        <w:pStyle w:val="ListParagraph"/>
        <w:numPr>
          <w:ilvl w:val="0"/>
          <w:numId w:val="2"/>
        </w:numPr>
        <w:spacing w:after="60" w:before="60"/>
      </w:pPr>
      <w:r>
        <w:rPr>
          <w:rFonts w:ascii="Arial" w:cs="Arial" w:eastAsia="Arial" w:hAnsi="Arial"/>
          <w:b/>
          <w:bCs/>
          <w:color w:val="1F4E79"/>
          <w:sz w:val="22"/>
          <w:szCs w:val="22"/>
        </w:rPr>
        <w:t xml:space="preserve">VS Code</w:t>
      </w:r>
      <w:r>
        <w:rPr>
          <w:rFonts w:ascii="Arial" w:cs="Arial" w:eastAsia="Arial" w:hAnsi="Arial"/>
          <w:color w:val="2D2D2D"/>
          <w:sz w:val="22"/>
          <w:szCs w:val="22"/>
        </w:rPr>
        <w:t xml:space="preserve"> with SQLTools extension — SQL queries and Python scripting</w:t>
      </w:r>
    </w:p>
    <w:p>
      <w:pPr>
        <w:pStyle w:val="ListParagraph"/>
        <w:numPr>
          <w:ilvl w:val="0"/>
          <w:numId w:val="2"/>
        </w:numPr>
        <w:spacing w:after="60" w:before="60"/>
      </w:pPr>
      <w:r>
        <w:rPr>
          <w:rFonts w:ascii="Arial" w:cs="Arial" w:eastAsia="Arial" w:hAnsi="Arial"/>
          <w:b/>
          <w:bCs/>
          <w:color w:val="1F4E79"/>
          <w:sz w:val="22"/>
          <w:szCs w:val="22"/>
        </w:rPr>
        <w:t xml:space="preserve">Python</w:t>
      </w:r>
      <w:r>
        <w:rPr>
          <w:rFonts w:ascii="Arial" w:cs="Arial" w:eastAsia="Arial" w:hAnsi="Arial"/>
          <w:color w:val="2D2D2D"/>
          <w:sz w:val="22"/>
          <w:szCs w:val="22"/>
        </w:rPr>
        <w:t xml:space="preserve"> (pandas, SQLAlchemy) — bulk CSV loading into PostgreSQL</w:t>
      </w:r>
    </w:p>
    <w:p>
      <w:pPr>
        <w:spacing w:after="80" w:before="80"/>
      </w:pPr>
      <w:r>
        <w:t xml:space="preserve"/>
      </w:r>
    </w:p>
    <w:p>
      <w:r>
        <w:br w:type="page"/>
      </w:r>
    </w:p>
    <w:p>
      <w:pPr>
        <w:pStyle w:val="Heading1"/>
        <w:pBdr>
          <w:bottom w:val="single" w:color="1F4E79" w:sz="6" w:space="1"/>
        </w:pBdr>
        <w:spacing w:after="200" w:before="360"/>
      </w:pPr>
      <w:r>
        <w:rPr>
          <w:rFonts w:ascii="Arial" w:cs="Arial" w:eastAsia="Arial" w:hAnsi="Arial"/>
          <w:b/>
          <w:bCs/>
          <w:color w:val="1F4E79"/>
          <w:sz w:val="32"/>
          <w:szCs w:val="32"/>
        </w:rPr>
        <w:t xml:space="preserve">2. Database Setup</w:t>
      </w:r>
    </w:p>
    <w:p>
      <w:pPr>
        <w:pStyle w:val="Heading2"/>
        <w:spacing w:after="140" w:before="260"/>
      </w:pPr>
      <w:r>
        <w:rPr>
          <w:rFonts w:ascii="Arial" w:cs="Arial" w:eastAsia="Arial" w:hAnsi="Arial"/>
          <w:b/>
          <w:bCs/>
          <w:color w:val="2E75B6"/>
          <w:sz w:val="26"/>
          <w:szCs w:val="26"/>
        </w:rPr>
        <w:t xml:space="preserve">2.1 Database &amp; Tables Created</w:t>
      </w:r>
    </w:p>
    <w:p>
      <w:pPr>
        <w:spacing w:after="80" w:before="80"/>
        <w:jc w:val="left"/>
      </w:pPr>
      <w:r>
        <w:rPr>
          <w:rFonts w:ascii="Arial" w:cs="Arial" w:eastAsia="Arial" w:hAnsi="Arial"/>
          <w:b w:val="false"/>
          <w:bCs w:val="false"/>
          <w:i w:val="false"/>
          <w:iCs w:val="false"/>
          <w:color w:val="2D2D2D"/>
          <w:sz w:val="22"/>
          <w:szCs w:val="22"/>
        </w:rPr>
        <w:t xml:space="preserve">Database credit_risk_db was created in PostgreSQL. Four CSV files from the Kaggle Home Credit Default Risk competition were bulk-loaded using a Python script (pandas + SQLAlchemy), creating four staging 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 Name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File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 Count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stg_application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application_train.csv</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307,511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Core loan applications with TARGET default indicator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stg_bureau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bureau.csv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1,716,428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Previous credits at other institutions (Credit Bureau)</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stg_previous_application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previous_application.csv</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1,670,214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Prior loan applications with Home Credit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stg_installments_payments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installments_payments.csv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13,605,401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Monthly payment records per installment</w:t>
            </w:r>
          </w:p>
        </w:tc>
      </w:tr>
    </w:tbl>
    <w:p>
      <w:pPr>
        <w:spacing w:after="80" w:before="80"/>
      </w:pPr>
      <w:r>
        <w:t xml:space="preserve"/>
      </w:r>
    </w:p>
    <w:p>
      <w:pPr>
        <w:spacing w:after="80" w:before="80"/>
        <w:jc w:val="left"/>
      </w:pPr>
      <w:r>
        <w:rPr>
          <w:rFonts w:ascii="Arial" w:cs="Arial" w:eastAsia="Arial" w:hAnsi="Arial"/>
          <w:b/>
          <w:bCs/>
          <w:i w:val="false"/>
          <w:iCs w:val="false"/>
          <w:color w:val="2D2D2D"/>
          <w:sz w:val="22"/>
          <w:szCs w:val="22"/>
        </w:rPr>
        <w:t xml:space="preserve">Total records loaded: 17,299,554 rows across 4 relational tables.</w:t>
      </w:r>
    </w:p>
    <w:p>
      <w:pPr>
        <w:spacing w:after="80" w:before="80"/>
      </w:pPr>
      <w:r>
        <w:t xml:space="preserve"/>
      </w:r>
    </w:p>
    <w:p>
      <w:pPr>
        <w:pStyle w:val="Heading2"/>
        <w:spacing w:after="140" w:before="260"/>
      </w:pPr>
      <w:r>
        <w:rPr>
          <w:rFonts w:ascii="Arial" w:cs="Arial" w:eastAsia="Arial" w:hAnsi="Arial"/>
          <w:b/>
          <w:bCs/>
          <w:color w:val="2E75B6"/>
          <w:sz w:val="26"/>
          <w:szCs w:val="26"/>
        </w:rPr>
        <w:t xml:space="preserve">2.2 Key Columns — stg_application</w:t>
      </w:r>
    </w:p>
    <w:p>
      <w:pPr>
        <w:pStyle w:val="ListParagraph"/>
        <w:numPr>
          <w:ilvl w:val="0"/>
          <w:numId w:val="2"/>
        </w:numPr>
        <w:spacing w:after="60" w:before="60"/>
      </w:pPr>
      <w:r>
        <w:rPr>
          <w:rFonts w:ascii="Arial" w:cs="Arial" w:eastAsia="Arial" w:hAnsi="Arial"/>
          <w:color w:val="2D2D2D"/>
          <w:sz w:val="22"/>
          <w:szCs w:val="22"/>
        </w:rPr>
        <w:t xml:space="preserve">sk_id_curr — Unique customer ID (primary key linking all 4 tables)</w:t>
      </w:r>
    </w:p>
    <w:p>
      <w:pPr>
        <w:pStyle w:val="ListParagraph"/>
        <w:numPr>
          <w:ilvl w:val="0"/>
          <w:numId w:val="2"/>
        </w:numPr>
        <w:spacing w:after="60" w:before="60"/>
      </w:pPr>
      <w:r>
        <w:rPr>
          <w:rFonts w:ascii="Arial" w:cs="Arial" w:eastAsia="Arial" w:hAnsi="Arial"/>
          <w:color w:val="2D2D2D"/>
          <w:sz w:val="22"/>
          <w:szCs w:val="22"/>
        </w:rPr>
        <w:t xml:space="preserve">target — Default indicator: 1 = defaulted, 0 = repaid</w:t>
      </w:r>
    </w:p>
    <w:p>
      <w:pPr>
        <w:pStyle w:val="ListParagraph"/>
        <w:numPr>
          <w:ilvl w:val="0"/>
          <w:numId w:val="2"/>
        </w:numPr>
        <w:spacing w:after="60" w:before="60"/>
      </w:pPr>
      <w:r>
        <w:rPr>
          <w:rFonts w:ascii="Arial" w:cs="Arial" w:eastAsia="Arial" w:hAnsi="Arial"/>
          <w:color w:val="2D2D2D"/>
          <w:sz w:val="22"/>
          <w:szCs w:val="22"/>
        </w:rPr>
        <w:t xml:space="preserve">amt_credit — Loan amount applied for</w:t>
      </w:r>
    </w:p>
    <w:p>
      <w:pPr>
        <w:pStyle w:val="ListParagraph"/>
        <w:numPr>
          <w:ilvl w:val="0"/>
          <w:numId w:val="2"/>
        </w:numPr>
        <w:spacing w:after="60" w:before="60"/>
      </w:pPr>
      <w:r>
        <w:rPr>
          <w:rFonts w:ascii="Arial" w:cs="Arial" w:eastAsia="Arial" w:hAnsi="Arial"/>
          <w:color w:val="2D2D2D"/>
          <w:sz w:val="22"/>
          <w:szCs w:val="22"/>
        </w:rPr>
        <w:t xml:space="preserve">amt_income_total — Annual income</w:t>
      </w:r>
    </w:p>
    <w:p>
      <w:pPr>
        <w:pStyle w:val="ListParagraph"/>
        <w:numPr>
          <w:ilvl w:val="0"/>
          <w:numId w:val="2"/>
        </w:numPr>
        <w:spacing w:after="60" w:before="60"/>
      </w:pPr>
      <w:r>
        <w:rPr>
          <w:rFonts w:ascii="Arial" w:cs="Arial" w:eastAsia="Arial" w:hAnsi="Arial"/>
          <w:color w:val="2D2D2D"/>
          <w:sz w:val="22"/>
          <w:szCs w:val="22"/>
        </w:rPr>
        <w:t xml:space="preserve">days_birth — Age in negative days (converted via ABS / 365)</w:t>
      </w:r>
    </w:p>
    <w:p>
      <w:pPr>
        <w:pStyle w:val="ListParagraph"/>
        <w:numPr>
          <w:ilvl w:val="0"/>
          <w:numId w:val="2"/>
        </w:numPr>
        <w:spacing w:after="60" w:before="60"/>
      </w:pPr>
      <w:r>
        <w:rPr>
          <w:rFonts w:ascii="Arial" w:cs="Arial" w:eastAsia="Arial" w:hAnsi="Arial"/>
          <w:color w:val="2D2D2D"/>
          <w:sz w:val="22"/>
          <w:szCs w:val="22"/>
        </w:rPr>
        <w:t xml:space="preserve">days_employed — Employment tenure in negative days (365243 = unemployed placeholder)</w:t>
      </w:r>
    </w:p>
    <w:p>
      <w:pPr>
        <w:pStyle w:val="ListParagraph"/>
        <w:numPr>
          <w:ilvl w:val="0"/>
          <w:numId w:val="2"/>
        </w:numPr>
        <w:spacing w:after="60" w:before="60"/>
      </w:pPr>
      <w:r>
        <w:rPr>
          <w:rFonts w:ascii="Arial" w:cs="Arial" w:eastAsia="Arial" w:hAnsi="Arial"/>
          <w:color w:val="2D2D2D"/>
          <w:sz w:val="22"/>
          <w:szCs w:val="22"/>
        </w:rPr>
        <w:t xml:space="preserve">name_income_type — Employment category</w:t>
      </w:r>
    </w:p>
    <w:p>
      <w:pPr>
        <w:pStyle w:val="ListParagraph"/>
        <w:numPr>
          <w:ilvl w:val="0"/>
          <w:numId w:val="2"/>
        </w:numPr>
        <w:spacing w:after="60" w:before="60"/>
      </w:pPr>
      <w:r>
        <w:rPr>
          <w:rFonts w:ascii="Arial" w:cs="Arial" w:eastAsia="Arial" w:hAnsi="Arial"/>
          <w:color w:val="2D2D2D"/>
          <w:sz w:val="22"/>
          <w:szCs w:val="22"/>
        </w:rPr>
        <w:t xml:space="preserve">name_education_type — Highest education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D9E75" w:sz="6"/>
              <w:left w:val="single" w:color="1D9E75" w:sz="18"/>
              <w:bottom w:val="single" w:color="1D9E75" w:sz="1"/>
              <w:right w:val="single" w:color="1D9E75" w:sz="1"/>
            </w:tcBorders>
            <w:shd w:fill="E1F5EE" w:val="clear"/>
            <w:tcMar>
              <w:top w:type="dxa" w:w="120"/>
              <w:left w:type="dxa" w:w="200"/>
              <w:bottom w:type="dxa" w:w="120"/>
              <w:right w:type="dxa" w:w="200"/>
            </w:tcMar>
          </w:tcPr>
          <w:p>
            <w:pPr>
              <w:spacing w:after="60" w:before="40"/>
            </w:pPr>
            <w:r>
              <w:rPr>
                <w:rFonts w:ascii="Arial" w:cs="Arial" w:eastAsia="Arial" w:hAnsi="Arial"/>
                <w:b/>
                <w:bCs/>
                <w:color w:val="085041"/>
                <w:sz w:val="22"/>
                <w:szCs w:val="22"/>
              </w:rPr>
              <w:t xml:space="preserve">Data Quality Issues Handled</w:t>
            </w:r>
          </w:p>
          <w:p>
            <w:pPr>
              <w:spacing w:after="40" w:before="40"/>
            </w:pPr>
            <w:r>
              <w:rPr>
                <w:rFonts w:ascii="Arial" w:cs="Arial" w:eastAsia="Arial" w:hAnsi="Arial"/>
                <w:i/>
                <w:iCs/>
                <w:color w:val="085041"/>
                <w:sz w:val="22"/>
                <w:szCs w:val="22"/>
              </w:rPr>
              <w:t xml:space="preserve">Two columns required cleaning. days_birth and days_employed are stored as negative integers — converted to positive years using ABS() / 365. days_employed also contains a placeholder value of 365243 indicating unemployed status, which was treated as 0 years employed to prevent inflated tenure figures in all downstream queries.</w:t>
            </w:r>
          </w:p>
        </w:tc>
      </w:tr>
    </w:tbl>
    <w:p>
      <w:pPr>
        <w:spacing w:after="80" w:before="80"/>
      </w:pPr>
      <w:r>
        <w:t xml:space="preserve"/>
      </w:r>
    </w:p>
    <w:p>
      <w:r>
        <w:br w:type="page"/>
      </w:r>
    </w:p>
    <w:p>
      <w:pPr>
        <w:pStyle w:val="Heading1"/>
        <w:pBdr>
          <w:bottom w:val="single" w:color="1F4E79" w:sz="6" w:space="1"/>
        </w:pBdr>
        <w:spacing w:after="200" w:before="360"/>
      </w:pPr>
      <w:r>
        <w:rPr>
          <w:rFonts w:ascii="Arial" w:cs="Arial" w:eastAsia="Arial" w:hAnsi="Arial"/>
          <w:b/>
          <w:bCs/>
          <w:color w:val="1F4E79"/>
          <w:sz w:val="32"/>
          <w:szCs w:val="32"/>
        </w:rPr>
        <w:t xml:space="preserve">3. SQL Analysis — Stage by Stage</w:t>
      </w:r>
    </w:p>
    <w:p>
      <w:pPr>
        <w:pStyle w:val="Heading2"/>
        <w:spacing w:after="140" w:before="260"/>
      </w:pPr>
      <w:r>
        <w:rPr>
          <w:rFonts w:ascii="Arial" w:cs="Arial" w:eastAsia="Arial" w:hAnsi="Arial"/>
          <w:b/>
          <w:bCs/>
          <w:color w:val="2E75B6"/>
          <w:sz w:val="26"/>
          <w:szCs w:val="26"/>
        </w:rPr>
        <w:t xml:space="preserve">3.1 Stage 2 — SELECT Basics</w:t>
      </w:r>
    </w:p>
    <w:p>
      <w:pPr>
        <w:spacing w:after="80" w:before="80"/>
        <w:jc w:val="left"/>
      </w:pPr>
      <w:r>
        <w:rPr>
          <w:rFonts w:ascii="Arial" w:cs="Arial" w:eastAsia="Arial" w:hAnsi="Arial"/>
          <w:b w:val="false"/>
          <w:bCs w:val="false"/>
          <w:i w:val="false"/>
          <w:iCs w:val="false"/>
          <w:color w:val="2D2D2D"/>
          <w:sz w:val="22"/>
          <w:szCs w:val="22"/>
        </w:rPr>
        <w:t xml:space="preserve">The first queries established familiarity with the data structure and introduced core SQL syntax. Key operations covered:</w:t>
      </w:r>
    </w:p>
    <w:p>
      <w:pPr>
        <w:pStyle w:val="ListParagraph"/>
        <w:numPr>
          <w:ilvl w:val="0"/>
          <w:numId w:val="2"/>
        </w:numPr>
        <w:spacing w:after="60" w:before="60"/>
      </w:pPr>
      <w:r>
        <w:rPr>
          <w:rFonts w:ascii="Arial" w:cs="Arial" w:eastAsia="Arial" w:hAnsi="Arial"/>
          <w:color w:val="2D2D2D"/>
          <w:sz w:val="22"/>
          <w:szCs w:val="22"/>
        </w:rPr>
        <w:t xml:space="preserve">SELECT with column aliasing (AS) for readable output</w:t>
      </w:r>
    </w:p>
    <w:p>
      <w:pPr>
        <w:pStyle w:val="ListParagraph"/>
        <w:numPr>
          <w:ilvl w:val="0"/>
          <w:numId w:val="2"/>
        </w:numPr>
        <w:spacing w:after="60" w:before="60"/>
      </w:pPr>
      <w:r>
        <w:rPr>
          <w:rFonts w:ascii="Arial" w:cs="Arial" w:eastAsia="Arial" w:hAnsi="Arial"/>
          <w:color w:val="2D2D2D"/>
          <w:sz w:val="22"/>
          <w:szCs w:val="22"/>
        </w:rPr>
        <w:t xml:space="preserve">WHERE with single and compound conditions using AND</w:t>
      </w:r>
    </w:p>
    <w:p>
      <w:pPr>
        <w:pStyle w:val="ListParagraph"/>
        <w:numPr>
          <w:ilvl w:val="0"/>
          <w:numId w:val="2"/>
        </w:numPr>
        <w:spacing w:after="60" w:before="60"/>
      </w:pPr>
      <w:r>
        <w:rPr>
          <w:rFonts w:ascii="Arial" w:cs="Arial" w:eastAsia="Arial" w:hAnsi="Arial"/>
          <w:color w:val="2D2D2D"/>
          <w:sz w:val="22"/>
          <w:szCs w:val="22"/>
        </w:rPr>
        <w:t xml:space="preserve">ABS(days_birth) / 365 to convert negative day-count to real age in years</w:t>
      </w:r>
    </w:p>
    <w:p>
      <w:pPr>
        <w:pStyle w:val="ListParagraph"/>
        <w:numPr>
          <w:ilvl w:val="0"/>
          <w:numId w:val="2"/>
        </w:numPr>
        <w:spacing w:after="60" w:before="60"/>
      </w:pPr>
      <w:r>
        <w:rPr>
          <w:rFonts w:ascii="Arial" w:cs="Arial" w:eastAsia="Arial" w:hAnsi="Arial"/>
          <w:color w:val="2D2D2D"/>
          <w:sz w:val="22"/>
          <w:szCs w:val="22"/>
        </w:rPr>
        <w:t xml:space="preserve">BETWEEN for age range filtering</w:t>
      </w:r>
    </w:p>
    <w:p>
      <w:pPr>
        <w:pStyle w:val="ListParagraph"/>
        <w:numPr>
          <w:ilvl w:val="0"/>
          <w:numId w:val="2"/>
        </w:numPr>
        <w:spacing w:after="60" w:before="60"/>
      </w:pPr>
      <w:r>
        <w:rPr>
          <w:rFonts w:ascii="Arial" w:cs="Arial" w:eastAsia="Arial" w:hAnsi="Arial"/>
          <w:color w:val="2D2D2D"/>
          <w:sz w:val="22"/>
          <w:szCs w:val="22"/>
        </w:rPr>
        <w:t xml:space="preserve">ORDER BY and LIMIT for controlled, safe exploration of large 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12"/>
              <w:bottom w:val="single" w:color="2E75B6" w:sz="1"/>
              <w:right w:val="single" w:color="2E75B6" w:sz="1"/>
            </w:tcBorders>
            <w:shd w:fill="EBF3FB" w:val="clear"/>
            <w:tcMar>
              <w:top w:type="dxa" w:w="100"/>
              <w:left w:type="dxa" w:w="180"/>
              <w:bottom w:type="dxa" w:w="100"/>
              <w:right w:type="dxa" w:w="180"/>
            </w:tcMar>
          </w:tcPr>
          <w:p>
            <w:pPr>
              <w:spacing w:after="60" w:before="40"/>
            </w:pPr>
            <w:r>
              <w:rPr>
                <w:rFonts w:ascii="Arial" w:cs="Arial" w:eastAsia="Arial" w:hAnsi="Arial"/>
                <w:b/>
                <w:bCs/>
                <w:color w:val="0C447C"/>
                <w:sz w:val="20"/>
                <w:szCs w:val="20"/>
              </w:rPr>
              <w:t xml:space="preserve">Techniques used in this stage</w:t>
            </w:r>
          </w:p>
          <w:p>
            <w:pPr>
              <w:spacing w:after="40" w:before="20"/>
            </w:pPr>
            <w:r>
              <w:rPr>
                <w:rFonts w:ascii="Arial" w:cs="Arial" w:eastAsia="Arial" w:hAnsi="Arial"/>
                <w:color w:val="185FA5"/>
                <w:sz w:val="20"/>
                <w:szCs w:val="20"/>
              </w:rPr>
              <w:t xml:space="preserve">SELECT  ·  WHERE  ·  AND  ·  ORDER BY  ·  LIMIT  ·  ABS()  ·  Column aliasing</w:t>
            </w:r>
          </w:p>
        </w:tc>
      </w:tr>
    </w:tbl>
    <w:p>
      <w:pPr>
        <w:spacing w:after="80" w:before="80"/>
      </w:pPr>
      <w:r>
        <w:t xml:space="preserve"/>
      </w:r>
    </w:p>
    <w:p>
      <w:pPr>
        <w:pStyle w:val="Heading2"/>
        <w:spacing w:after="140" w:before="260"/>
      </w:pPr>
      <w:r>
        <w:rPr>
          <w:rFonts w:ascii="Arial" w:cs="Arial" w:eastAsia="Arial" w:hAnsi="Arial"/>
          <w:b/>
          <w:bCs/>
          <w:color w:val="2E75B6"/>
          <w:sz w:val="26"/>
          <w:szCs w:val="26"/>
        </w:rPr>
        <w:t xml:space="preserve">3.2 Stage 3 — GROUP BY &amp; Aggregate Analysis</w:t>
      </w:r>
    </w:p>
    <w:p>
      <w:pPr>
        <w:spacing w:after="80" w:before="80"/>
        <w:jc w:val="left"/>
      </w:pPr>
      <w:r>
        <w:rPr>
          <w:rFonts w:ascii="Arial" w:cs="Arial" w:eastAsia="Arial" w:hAnsi="Arial"/>
          <w:b w:val="false"/>
          <w:bCs w:val="false"/>
          <w:i w:val="false"/>
          <w:iCs w:val="false"/>
          <w:color w:val="2D2D2D"/>
          <w:sz w:val="22"/>
          <w:szCs w:val="22"/>
        </w:rPr>
        <w:t xml:space="preserve">GROUP BY queries revealed the first real business insights — how default rate varies across borrower segments. Equivalent to PivotTables in Excel but with full control over the calculation logic.</w:t>
      </w:r>
    </w:p>
    <w:p>
      <w:pPr>
        <w:spacing w:after="80" w:before="80"/>
      </w:pPr>
      <w:r>
        <w:t xml:space="preserve"/>
      </w:r>
    </w:p>
    <w:p>
      <w:pPr>
        <w:spacing w:after="100" w:before="200"/>
      </w:pPr>
      <w:r>
        <w:rPr>
          <w:rFonts w:ascii="Arial" w:cs="Arial" w:eastAsia="Arial" w:hAnsi="Arial"/>
          <w:b/>
          <w:bCs/>
          <w:color w:val="404040"/>
          <w:sz w:val="24"/>
          <w:szCs w:val="24"/>
        </w:rPr>
        <w:t xml:space="preserve">3.2.1 Overall Default Rate</w:t>
      </w:r>
    </w:p>
    <w:p>
      <w:pPr>
        <w:spacing w:after="80" w:before="80"/>
        <w:jc w:val="left"/>
      </w:pPr>
      <w:r>
        <w:rPr>
          <w:rFonts w:ascii="Arial" w:cs="Arial" w:eastAsia="Arial" w:hAnsi="Arial"/>
          <w:b w:val="false"/>
          <w:bCs w:val="false"/>
          <w:i w:val="false"/>
          <w:iCs w:val="false"/>
          <w:color w:val="2D2D2D"/>
          <w:sz w:val="22"/>
          <w:szCs w:val="22"/>
        </w:rPr>
        <w:t xml:space="preserve">Of 307,511 applicants, 24,825 defaulted — an overall default rate of approximately 8.07%. The remaining ~92% repaid successfully. This class imbalance is a known characteristic of the dataset and informs all downstream risk segmentation.</w:t>
      </w:r>
    </w:p>
    <w:p>
      <w:pPr>
        <w:spacing w:after="80" w:before="80"/>
      </w:pPr>
      <w:r>
        <w:t xml:space="preserve"/>
      </w:r>
    </w:p>
    <w:p>
      <w:pPr>
        <w:spacing w:after="100" w:before="200"/>
      </w:pPr>
      <w:r>
        <w:rPr>
          <w:rFonts w:ascii="Arial" w:cs="Arial" w:eastAsia="Arial" w:hAnsi="Arial"/>
          <w:b/>
          <w:bCs/>
          <w:color w:val="404040"/>
          <w:sz w:val="24"/>
          <w:szCs w:val="24"/>
        </w:rPr>
        <w:t xml:space="preserve">3.2.2 Default Rate by Income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Income Type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Customers</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Defaults</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 Rate %</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Loan Amount</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Maternity leave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40.00%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749,700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Unemployed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22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36.36%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764,386</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Working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158,774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15,224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9.59%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577,011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Commercial associate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71,617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5,360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7.48%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669,913</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State servant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21,703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1,249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5.75%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669,819</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Pensioner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55,362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2,982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5.39%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542,546</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Student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0.00%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510,788</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Businessman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1,228,500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D9E75" w:sz="6"/>
              <w:left w:val="single" w:color="1D9E75" w:sz="18"/>
              <w:bottom w:val="single" w:color="1D9E75" w:sz="1"/>
              <w:right w:val="single" w:color="1D9E75" w:sz="1"/>
            </w:tcBorders>
            <w:shd w:fill="E1F5EE" w:val="clear"/>
            <w:tcMar>
              <w:top w:type="dxa" w:w="120"/>
              <w:left w:type="dxa" w:w="200"/>
              <w:bottom w:type="dxa" w:w="120"/>
              <w:right w:type="dxa" w:w="200"/>
            </w:tcMar>
          </w:tcPr>
          <w:p>
            <w:pPr>
              <w:spacing w:after="60" w:before="40"/>
            </w:pPr>
            <w:r>
              <w:rPr>
                <w:rFonts w:ascii="Arial" w:cs="Arial" w:eastAsia="Arial" w:hAnsi="Arial"/>
                <w:b/>
                <w:bCs/>
                <w:color w:val="085041"/>
                <w:sz w:val="22"/>
                <w:szCs w:val="22"/>
              </w:rPr>
              <w:t xml:space="preserve">Key Insight 1 — Income Type Risk</w:t>
            </w:r>
          </w:p>
          <w:p>
            <w:pPr>
              <w:spacing w:after="40" w:before="40"/>
            </w:pPr>
            <w:r>
              <w:rPr>
                <w:rFonts w:ascii="Arial" w:cs="Arial" w:eastAsia="Arial" w:hAnsi="Arial"/>
                <w:i/>
                <w:iCs/>
                <w:color w:val="085041"/>
                <w:sz w:val="22"/>
                <w:szCs w:val="22"/>
              </w:rPr>
              <w:t xml:space="preserve">Among statistically significant segments (1,000+ customers), Working class borrowers default at 9.59% while Pensioners are the safest at 5.39% — nearly half the risk. Maternity leave and Unemployed segments show extreme rates but with only 5 and 22 customers respectively, making them statistically unreliable. Employment stability is a stronger predictor of default than loan size.</w:t>
            </w:r>
          </w:p>
        </w:tc>
      </w:tr>
    </w:tbl>
    <w:p>
      <w:pPr>
        <w:spacing w:after="80" w:before="80"/>
      </w:pPr>
      <w:r>
        <w:t xml:space="preserve"/>
      </w:r>
    </w:p>
    <w:p>
      <w:pPr>
        <w:spacing w:after="100" w:before="200"/>
      </w:pPr>
      <w:r>
        <w:rPr>
          <w:rFonts w:ascii="Arial" w:cs="Arial" w:eastAsia="Arial" w:hAnsi="Arial"/>
          <w:b/>
          <w:bCs/>
          <w:color w:val="404040"/>
          <w:sz w:val="24"/>
          <w:szCs w:val="24"/>
        </w:rPr>
        <w:t xml:space="preserve">3.2.3 Default Rate by Education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Education Level</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Customers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 Rate %</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Annual Income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Lower secondary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3,816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10.93%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130,079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Secondary / secondary special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218,391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8.94%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155,159</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Incomplete higher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10,277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8.48%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181,564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Higher education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74,863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5.36%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208,652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Academic degree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164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1.83%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240,009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D9E75" w:sz="6"/>
              <w:left w:val="single" w:color="1D9E75" w:sz="18"/>
              <w:bottom w:val="single" w:color="1D9E75" w:sz="1"/>
              <w:right w:val="single" w:color="1D9E75" w:sz="1"/>
            </w:tcBorders>
            <w:shd w:fill="E1F5EE" w:val="clear"/>
            <w:tcMar>
              <w:top w:type="dxa" w:w="120"/>
              <w:left w:type="dxa" w:w="200"/>
              <w:bottom w:type="dxa" w:w="120"/>
              <w:right w:type="dxa" w:w="200"/>
            </w:tcMar>
          </w:tcPr>
          <w:p>
            <w:pPr>
              <w:spacing w:after="60" w:before="40"/>
            </w:pPr>
            <w:r>
              <w:rPr>
                <w:rFonts w:ascii="Arial" w:cs="Arial" w:eastAsia="Arial" w:hAnsi="Arial"/>
                <w:b/>
                <w:bCs/>
                <w:color w:val="085041"/>
                <w:sz w:val="22"/>
                <w:szCs w:val="22"/>
              </w:rPr>
              <w:t xml:space="preserve">Key Insight 2 — Education &amp; Default Risk</w:t>
            </w:r>
          </w:p>
          <w:p>
            <w:pPr>
              <w:spacing w:after="40" w:before="40"/>
            </w:pPr>
            <w:r>
              <w:rPr>
                <w:rFonts w:ascii="Arial" w:cs="Arial" w:eastAsia="Arial" w:hAnsi="Arial"/>
                <w:i/>
                <w:iCs/>
                <w:color w:val="085041"/>
                <w:sz w:val="22"/>
                <w:szCs w:val="22"/>
              </w:rPr>
              <w:t xml:space="preserve">Education level shows a clear, consistent inverse relationship with default risk. Lower secondary educated borrowers default at 10.93% vs just 1.83% for those with academic degrees — a 6x difference. Higher education also correlates with higher income (130K vs 240K annually), suggesting a combined effect of financial literacy and earning capacity.</w:t>
            </w:r>
          </w:p>
        </w:tc>
      </w:tr>
    </w:tbl>
    <w:p>
      <w:pPr>
        <w:spacing w:after="80" w:before="80"/>
      </w:pPr>
      <w:r>
        <w:t xml:space="preserve"/>
      </w:r>
    </w:p>
    <w:p>
      <w:pPr>
        <w:spacing w:after="100" w:before="200"/>
      </w:pPr>
      <w:r>
        <w:rPr>
          <w:rFonts w:ascii="Arial" w:cs="Arial" w:eastAsia="Arial" w:hAnsi="Arial"/>
          <w:b/>
          <w:bCs/>
          <w:color w:val="404040"/>
          <w:sz w:val="24"/>
          <w:szCs w:val="24"/>
        </w:rPr>
        <w:t xml:space="preserve">3.2.4 Default Rate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 Group</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Customers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 Rate %</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Loan Amount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Under 25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12,150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12.31%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414,932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25-34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72,289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10.67%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542,254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35-44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84,276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8.40%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637,731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45-54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70,069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7.06%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661,387</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55+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68,727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5.21%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580,245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D9E75" w:sz="6"/>
              <w:left w:val="single" w:color="1D9E75" w:sz="18"/>
              <w:bottom w:val="single" w:color="1D9E75" w:sz="1"/>
              <w:right w:val="single" w:color="1D9E75" w:sz="1"/>
            </w:tcBorders>
            <w:shd w:fill="E1F5EE" w:val="clear"/>
            <w:tcMar>
              <w:top w:type="dxa" w:w="120"/>
              <w:left w:type="dxa" w:w="200"/>
              <w:bottom w:type="dxa" w:w="120"/>
              <w:right w:type="dxa" w:w="200"/>
            </w:tcMar>
          </w:tcPr>
          <w:p>
            <w:pPr>
              <w:spacing w:after="60" w:before="40"/>
            </w:pPr>
            <w:r>
              <w:rPr>
                <w:rFonts w:ascii="Arial" w:cs="Arial" w:eastAsia="Arial" w:hAnsi="Arial"/>
                <w:b/>
                <w:bCs/>
                <w:color w:val="085041"/>
                <w:sz w:val="22"/>
                <w:szCs w:val="22"/>
              </w:rPr>
              <w:t xml:space="preserve">Key Insight 3 — Age &amp; Default Risk</w:t>
            </w:r>
          </w:p>
          <w:p>
            <w:pPr>
              <w:spacing w:after="40" w:before="40"/>
            </w:pPr>
            <w:r>
              <w:rPr>
                <w:rFonts w:ascii="Arial" w:cs="Arial" w:eastAsia="Arial" w:hAnsi="Arial"/>
                <w:i/>
                <w:iCs/>
                <w:color w:val="085041"/>
                <w:sz w:val="22"/>
                <w:szCs w:val="22"/>
              </w:rPr>
              <w:t xml:space="preserve">Default rate drops consistently with every decade of age — an almost perfectly linear relationship. Borrowers under 25 default at 12.31%, falling to 5.21% for those over 55. Notably, younger borrowers also take smaller loans on average (414K vs 661K for 45-54), confirming that age-risk is driven by financial behaviour and credit maturity, not by exposure size.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12"/>
              <w:bottom w:val="single" w:color="2E75B6" w:sz="1"/>
              <w:right w:val="single" w:color="2E75B6" w:sz="1"/>
            </w:tcBorders>
            <w:shd w:fill="EBF3FB" w:val="clear"/>
            <w:tcMar>
              <w:top w:type="dxa" w:w="100"/>
              <w:left w:type="dxa" w:w="180"/>
              <w:bottom w:type="dxa" w:w="100"/>
              <w:right w:type="dxa" w:w="180"/>
            </w:tcMar>
          </w:tcPr>
          <w:p>
            <w:pPr>
              <w:spacing w:after="60" w:before="40"/>
            </w:pPr>
            <w:r>
              <w:rPr>
                <w:rFonts w:ascii="Arial" w:cs="Arial" w:eastAsia="Arial" w:hAnsi="Arial"/>
                <w:b/>
                <w:bCs/>
                <w:color w:val="0C447C"/>
                <w:sz w:val="20"/>
                <w:szCs w:val="20"/>
              </w:rPr>
              <w:t xml:space="preserve">Techniques used in this stage</w:t>
            </w:r>
          </w:p>
          <w:p>
            <w:pPr>
              <w:spacing w:after="40" w:before="20"/>
            </w:pPr>
            <w:r>
              <w:rPr>
                <w:rFonts w:ascii="Arial" w:cs="Arial" w:eastAsia="Arial" w:hAnsi="Arial"/>
                <w:color w:val="185FA5"/>
                <w:sz w:val="20"/>
                <w:szCs w:val="20"/>
              </w:rPr>
              <w:t xml:space="preserve">GROUP BY  ·  HAVING  ·  AVG()  ·  SUM()  ·  COUNT()  ·  CASE WHEN  ·  ::numeric cast  ·  ORDER BY DESC</w:t>
            </w:r>
          </w:p>
        </w:tc>
      </w:tr>
    </w:tbl>
    <w:p>
      <w:pPr>
        <w:spacing w:after="80" w:before="80"/>
      </w:pPr>
      <w:r>
        <w:t xml:space="preserve"/>
      </w:r>
    </w:p>
    <w:p>
      <w:r>
        <w:br w:type="page"/>
      </w:r>
    </w:p>
    <w:p>
      <w:pPr>
        <w:pStyle w:val="Heading2"/>
        <w:spacing w:after="140" w:before="260"/>
      </w:pPr>
      <w:r>
        <w:rPr>
          <w:rFonts w:ascii="Arial" w:cs="Arial" w:eastAsia="Arial" w:hAnsi="Arial"/>
          <w:b/>
          <w:bCs/>
          <w:color w:val="2E75B6"/>
          <w:sz w:val="26"/>
          <w:szCs w:val="26"/>
        </w:rPr>
        <w:t xml:space="preserve">3.3 Stage 4 — JOINs (Customer 360)</w:t>
      </w:r>
    </w:p>
    <w:p>
      <w:pPr>
        <w:spacing w:after="80" w:before="80"/>
        <w:jc w:val="left"/>
      </w:pPr>
      <w:r>
        <w:rPr>
          <w:rFonts w:ascii="Arial" w:cs="Arial" w:eastAsia="Arial" w:hAnsi="Arial"/>
          <w:b w:val="false"/>
          <w:bCs w:val="false"/>
          <w:i w:val="false"/>
          <w:iCs w:val="false"/>
          <w:color w:val="2D2D2D"/>
          <w:sz w:val="22"/>
          <w:szCs w:val="22"/>
        </w:rPr>
        <w:t xml:space="preserve">The JOIN stage linked all four tables into a unified customer risk profile — one row per customer containing their application data, bureau credit history, previous loan behaviour, and payment performance.</w:t>
      </w:r>
    </w:p>
    <w:p>
      <w:pPr>
        <w:spacing w:after="80" w:before="80"/>
      </w:pPr>
      <w:r>
        <w:t xml:space="preserve"/>
      </w:r>
    </w:p>
    <w:p>
      <w:pPr>
        <w:spacing w:after="100" w:before="200"/>
      </w:pPr>
      <w:r>
        <w:rPr>
          <w:rFonts w:ascii="Arial" w:cs="Arial" w:eastAsia="Arial" w:hAnsi="Arial"/>
          <w:b/>
          <w:bCs/>
          <w:color w:val="404040"/>
          <w:sz w:val="24"/>
          <w:szCs w:val="24"/>
        </w:rPr>
        <w:t xml:space="preserve">Key JOIN Pattern Used</w:t>
      </w:r>
    </w:p>
    <w:p>
      <w:pPr>
        <w:spacing w:after="80" w:before="80"/>
        <w:jc w:val="left"/>
      </w:pPr>
      <w:r>
        <w:rPr>
          <w:rFonts w:ascii="Arial" w:cs="Arial" w:eastAsia="Arial" w:hAnsi="Arial"/>
          <w:b w:val="false"/>
          <w:bCs w:val="false"/>
          <w:i w:val="false"/>
          <w:iCs w:val="false"/>
          <w:color w:val="2D2D2D"/>
          <w:sz w:val="22"/>
          <w:szCs w:val="22"/>
        </w:rPr>
        <w:t xml:space="preserve">Rather than joining raw tables directly (which would multiply rows for one-to-many relationships), each supplementary table was first aggregated into one row per customer using CTEs, then joined to the main application table. This is the correct pattern for one-to-many relationships.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Join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Relationship</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Aggregation Applied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Join 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application → bureau</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One-to-many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COUNT credits, AVG overdue days, SUM exposure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Join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application → previous_application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One-to-many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COUNT prior loans, SUM refusals, AVG prior amount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Join 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All above combined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Three-table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Customer 360 — one row, 14 columns, 3 sources</w:t>
            </w:r>
          </w:p>
        </w:tc>
      </w:tr>
    </w:tbl>
    <w:p>
      <w:pPr>
        <w:spacing w:after="80" w:before="80"/>
      </w:pPr>
      <w:r>
        <w:t xml:space="preserve"/>
      </w:r>
    </w:p>
    <w:p>
      <w:pPr>
        <w:spacing w:after="80" w:before="80"/>
        <w:jc w:val="left"/>
      </w:pPr>
      <w:r>
        <w:rPr>
          <w:rFonts w:ascii="Arial" w:cs="Arial" w:eastAsia="Arial" w:hAnsi="Arial"/>
          <w:b w:val="false"/>
          <w:bCs w:val="false"/>
          <w:i w:val="false"/>
          <w:iCs w:val="false"/>
          <w:color w:val="2D2D2D"/>
          <w:sz w:val="22"/>
          <w:szCs w:val="22"/>
        </w:rPr>
        <w:t xml:space="preserve">COALESCE(value, 0) was applied to all joined columns to handle first-time applicants with no bureau or previous loan history. NULLIF(income, 0) was used in the debt-to-income ratio calculation to prevent division-by-zero errors.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12"/>
              <w:bottom w:val="single" w:color="2E75B6" w:sz="1"/>
              <w:right w:val="single" w:color="2E75B6" w:sz="1"/>
            </w:tcBorders>
            <w:shd w:fill="EBF3FB" w:val="clear"/>
            <w:tcMar>
              <w:top w:type="dxa" w:w="100"/>
              <w:left w:type="dxa" w:w="180"/>
              <w:bottom w:type="dxa" w:w="100"/>
              <w:right w:type="dxa" w:w="180"/>
            </w:tcMar>
          </w:tcPr>
          <w:p>
            <w:pPr>
              <w:spacing w:after="60" w:before="40"/>
            </w:pPr>
            <w:r>
              <w:rPr>
                <w:rFonts w:ascii="Arial" w:cs="Arial" w:eastAsia="Arial" w:hAnsi="Arial"/>
                <w:b/>
                <w:bCs/>
                <w:color w:val="0C447C"/>
                <w:sz w:val="20"/>
                <w:szCs w:val="20"/>
              </w:rPr>
              <w:t xml:space="preserve">Techniques used in this stage</w:t>
            </w:r>
          </w:p>
          <w:p>
            <w:pPr>
              <w:spacing w:after="40" w:before="20"/>
            </w:pPr>
            <w:r>
              <w:rPr>
                <w:rFonts w:ascii="Arial" w:cs="Arial" w:eastAsia="Arial" w:hAnsi="Arial"/>
                <w:color w:val="185FA5"/>
                <w:sz w:val="20"/>
                <w:szCs w:val="20"/>
              </w:rPr>
              <w:t xml:space="preserve">LEFT JOIN  ·  WITH...AS (CTE)  ·  COALESCE()  ·  NULLIF()  ·  COUNT DISTINCT  ·  Multi-table aggregation</w:t>
            </w:r>
          </w:p>
        </w:tc>
      </w:tr>
    </w:tbl>
    <w:p>
      <w:pPr>
        <w:spacing w:after="80" w:before="80"/>
      </w:pPr>
      <w:r>
        <w:t xml:space="preserve"/>
      </w:r>
    </w:p>
    <w:p>
      <w:r>
        <w:br w:type="page"/>
      </w:r>
    </w:p>
    <w:p>
      <w:pPr>
        <w:pStyle w:val="Heading2"/>
        <w:spacing w:after="140" w:before="260"/>
      </w:pPr>
      <w:r>
        <w:rPr>
          <w:rFonts w:ascii="Arial" w:cs="Arial" w:eastAsia="Arial" w:hAnsi="Arial"/>
          <w:b/>
          <w:bCs/>
          <w:color w:val="2E75B6"/>
          <w:sz w:val="26"/>
          <w:szCs w:val="26"/>
        </w:rPr>
        <w:t xml:space="preserve">3.4 Stage 5 — CTEs: Expected Loss Calculation</w:t>
      </w:r>
    </w:p>
    <w:p>
      <w:pPr>
        <w:spacing w:after="80" w:before="80"/>
        <w:jc w:val="left"/>
      </w:pPr>
      <w:r>
        <w:rPr>
          <w:rFonts w:ascii="Arial" w:cs="Arial" w:eastAsia="Arial" w:hAnsi="Arial"/>
          <w:b w:val="false"/>
          <w:bCs w:val="false"/>
          <w:i w:val="false"/>
          <w:iCs w:val="false"/>
          <w:color w:val="2D2D2D"/>
          <w:sz w:val="22"/>
          <w:szCs w:val="22"/>
        </w:rPr>
        <w:t xml:space="preserve">Common Table Expressions were used to build the Expected Loss formula in readable named steps — each WITH block defines one stage of the calculation, making the query self-documenting and auditable.</w:t>
      </w:r>
    </w:p>
    <w:p>
      <w:pPr>
        <w:spacing w:after="80" w:before="80"/>
      </w:pPr>
      <w:r>
        <w:t xml:space="preserve"/>
      </w:r>
    </w:p>
    <w:p>
      <w:pPr>
        <w:spacing w:after="100" w:before="200"/>
      </w:pPr>
      <w:r>
        <w:rPr>
          <w:rFonts w:ascii="Arial" w:cs="Arial" w:eastAsia="Arial" w:hAnsi="Arial"/>
          <w:b/>
          <w:bCs/>
          <w:color w:val="404040"/>
          <w:sz w:val="24"/>
          <w:szCs w:val="24"/>
        </w:rPr>
        <w:t xml:space="preserve">Formula Applied</w:t>
      </w:r>
    </w:p>
    <w:p>
      <w:pPr>
        <w:spacing w:after="80" w:before="80"/>
        <w:jc w:val="left"/>
      </w:pPr>
      <w:r>
        <w:rPr>
          <w:rFonts w:ascii="Arial" w:cs="Arial" w:eastAsia="Arial" w:hAnsi="Arial"/>
          <w:b/>
          <w:bCs/>
          <w:i w:val="false"/>
          <w:iCs w:val="false"/>
          <w:color w:val="2D2D2D"/>
          <w:sz w:val="22"/>
          <w:szCs w:val="22"/>
        </w:rPr>
        <w:t xml:space="preserve">Expected Loss = PD × LGD × EAD</w:t>
      </w:r>
    </w:p>
    <w:p>
      <w:pPr>
        <w:pStyle w:val="ListParagraph"/>
        <w:numPr>
          <w:ilvl w:val="0"/>
          <w:numId w:val="2"/>
        </w:numPr>
        <w:spacing w:after="60" w:before="60"/>
      </w:pPr>
      <w:r>
        <w:rPr>
          <w:rFonts w:ascii="Arial" w:cs="Arial" w:eastAsia="Arial" w:hAnsi="Arial"/>
          <w:color w:val="2D2D2D"/>
          <w:sz w:val="22"/>
          <w:szCs w:val="22"/>
        </w:rPr>
        <w:t xml:space="preserve">PD (Probability of Default) — calculated from actual observed default rates per income segment</w:t>
      </w:r>
    </w:p>
    <w:p>
      <w:pPr>
        <w:pStyle w:val="ListParagraph"/>
        <w:numPr>
          <w:ilvl w:val="0"/>
          <w:numId w:val="2"/>
        </w:numPr>
        <w:spacing w:after="60" w:before="60"/>
      </w:pPr>
      <w:r>
        <w:rPr>
          <w:rFonts w:ascii="Arial" w:cs="Arial" w:eastAsia="Arial" w:hAnsi="Arial"/>
          <w:color w:val="2D2D2D"/>
          <w:sz w:val="22"/>
          <w:szCs w:val="22"/>
        </w:rPr>
        <w:t xml:space="preserve">LGD (Loss Given Default) — fixed at 45%, the industry standard for unsecured consumer loans</w:t>
      </w:r>
    </w:p>
    <w:p>
      <w:pPr>
        <w:pStyle w:val="ListParagraph"/>
        <w:numPr>
          <w:ilvl w:val="0"/>
          <w:numId w:val="2"/>
        </w:numPr>
        <w:spacing w:after="60" w:before="60"/>
      </w:pPr>
      <w:r>
        <w:rPr>
          <w:rFonts w:ascii="Arial" w:cs="Arial" w:eastAsia="Arial" w:hAnsi="Arial"/>
          <w:color w:val="2D2D2D"/>
          <w:sz w:val="22"/>
          <w:szCs w:val="22"/>
        </w:rPr>
        <w:t xml:space="preserve">EAD (Exposure at Default) — average loan amount per income segment</w:t>
      </w:r>
    </w:p>
    <w:p>
      <w:pPr>
        <w:spacing w:after="80" w:before="80"/>
      </w:pPr>
      <w:r>
        <w:t xml:space="preserve"/>
      </w:r>
    </w:p>
    <w:p>
      <w:pPr>
        <w:spacing w:after="100" w:before="200"/>
      </w:pPr>
      <w:r>
        <w:rPr>
          <w:rFonts w:ascii="Arial" w:cs="Arial" w:eastAsia="Arial" w:hAnsi="Arial"/>
          <w:b/>
          <w:bCs/>
          <w:color w:val="404040"/>
          <w:sz w:val="24"/>
          <w:szCs w:val="24"/>
        </w:rPr>
        <w:t xml:space="preserve">Results — Expected Loss by Income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Income Segment</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PD %</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Exposure (EAD)</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 per Customer</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Segment EL</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Working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158,774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9.59%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577,011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24,901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3,953,631,374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Commercial associate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71,617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7.48%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669,913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22,549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1,614,891,733</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Pensioner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55,362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5.39%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542,546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13,159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728,508,558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State servant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21,703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5.75%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669,819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17,332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376,156,396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D9E75" w:sz="6"/>
              <w:left w:val="single" w:color="1D9E75" w:sz="18"/>
              <w:bottom w:val="single" w:color="1D9E75" w:sz="1"/>
              <w:right w:val="single" w:color="1D9E75" w:sz="1"/>
            </w:tcBorders>
            <w:shd w:fill="E1F5EE" w:val="clear"/>
            <w:tcMar>
              <w:top w:type="dxa" w:w="120"/>
              <w:left w:type="dxa" w:w="200"/>
              <w:bottom w:type="dxa" w:w="120"/>
              <w:right w:type="dxa" w:w="200"/>
            </w:tcMar>
          </w:tcPr>
          <w:p>
            <w:pPr>
              <w:spacing w:after="60" w:before="40"/>
            </w:pPr>
            <w:r>
              <w:rPr>
                <w:rFonts w:ascii="Arial" w:cs="Arial" w:eastAsia="Arial" w:hAnsi="Arial"/>
                <w:b/>
                <w:bCs/>
                <w:color w:val="085041"/>
                <w:sz w:val="22"/>
                <w:szCs w:val="22"/>
              </w:rPr>
              <w:t xml:space="preserve">Key Insight 4 — Portfolio Expected Loss</w:t>
            </w:r>
          </w:p>
          <w:p>
            <w:pPr>
              <w:spacing w:after="40" w:before="40"/>
            </w:pPr>
            <w:r>
              <w:rPr>
                <w:rFonts w:ascii="Arial" w:cs="Arial" w:eastAsia="Arial" w:hAnsi="Arial"/>
                <w:i/>
                <w:iCs/>
                <w:color w:val="085041"/>
                <w:sz w:val="22"/>
                <w:szCs w:val="22"/>
              </w:rPr>
              <w:t xml:space="preserve">Working class and Commercial associates together account for the majority of total portfolio expected loss. Working class drives 3.95 billion in expected loss — not because it has the single highest PD, but due to volume (158,774 customers). This illustrates the critical difference between individual risk rate and portfolio concentration risk: a moderate PD at large scale outweighs a high PD at small scale.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12"/>
              <w:bottom w:val="single" w:color="2E75B6" w:sz="1"/>
              <w:right w:val="single" w:color="2E75B6" w:sz="1"/>
            </w:tcBorders>
            <w:shd w:fill="EBF3FB" w:val="clear"/>
            <w:tcMar>
              <w:top w:type="dxa" w:w="100"/>
              <w:left w:type="dxa" w:w="180"/>
              <w:bottom w:type="dxa" w:w="100"/>
              <w:right w:type="dxa" w:w="180"/>
            </w:tcMar>
          </w:tcPr>
          <w:p>
            <w:pPr>
              <w:spacing w:after="60" w:before="40"/>
            </w:pPr>
            <w:r>
              <w:rPr>
                <w:rFonts w:ascii="Arial" w:cs="Arial" w:eastAsia="Arial" w:hAnsi="Arial"/>
                <w:b/>
                <w:bCs/>
                <w:color w:val="0C447C"/>
                <w:sz w:val="20"/>
                <w:szCs w:val="20"/>
              </w:rPr>
              <w:t xml:space="preserve">Techniques used in this stage</w:t>
            </w:r>
          </w:p>
          <w:p>
            <w:pPr>
              <w:spacing w:after="40" w:before="20"/>
            </w:pPr>
            <w:r>
              <w:rPr>
                <w:rFonts w:ascii="Arial" w:cs="Arial" w:eastAsia="Arial" w:hAnsi="Arial"/>
                <w:color w:val="185FA5"/>
                <w:sz w:val="20"/>
                <w:szCs w:val="20"/>
              </w:rPr>
              <w:t xml:space="preserve">WITH...AS (multi-CTE)  ·  Chained CTEs  ·  PD × LGD × EAD formula  ·  HAVING for segment filtering  ·  JOIN across CTEs</w:t>
            </w:r>
          </w:p>
        </w:tc>
      </w:tr>
    </w:tbl>
    <w:p>
      <w:pPr>
        <w:spacing w:after="80" w:before="80"/>
      </w:pPr>
      <w:r>
        <w:t xml:space="preserve"/>
      </w:r>
    </w:p>
    <w:p>
      <w:r>
        <w:br w:type="page"/>
      </w:r>
    </w:p>
    <w:p>
      <w:pPr>
        <w:pStyle w:val="Heading2"/>
        <w:spacing w:after="140" w:before="260"/>
      </w:pPr>
      <w:r>
        <w:rPr>
          <w:rFonts w:ascii="Arial" w:cs="Arial" w:eastAsia="Arial" w:hAnsi="Arial"/>
          <w:b/>
          <w:bCs/>
          <w:color w:val="2E75B6"/>
          <w:sz w:val="26"/>
          <w:szCs w:val="26"/>
        </w:rPr>
        <w:t xml:space="preserve">3.5 Stage 6 — Window Functions</w:t>
      </w:r>
    </w:p>
    <w:p>
      <w:pPr>
        <w:spacing w:after="80" w:before="80"/>
        <w:jc w:val="left"/>
      </w:pPr>
      <w:r>
        <w:rPr>
          <w:rFonts w:ascii="Arial" w:cs="Arial" w:eastAsia="Arial" w:hAnsi="Arial"/>
          <w:b w:val="false"/>
          <w:bCs w:val="false"/>
          <w:i w:val="false"/>
          <w:iCs w:val="false"/>
          <w:color w:val="2D2D2D"/>
          <w:sz w:val="22"/>
          <w:szCs w:val="22"/>
        </w:rPr>
        <w:t xml:space="preserve">Window functions calculate across a set of related rows without collapsing them — unlike GROUP BY which reduces rows. They enabled advanced risk analytics including borrower ranking, percentile positioning, and payment behaviour trends.</w:t>
      </w:r>
    </w:p>
    <w:p>
      <w:pPr>
        <w:spacing w:after="80" w:before="80"/>
      </w:pPr>
      <w:r>
        <w:t xml:space="preserve"/>
      </w:r>
    </w:p>
    <w:p>
      <w:pPr>
        <w:spacing w:after="100" w:before="200"/>
      </w:pPr>
      <w:r>
        <w:rPr>
          <w:rFonts w:ascii="Arial" w:cs="Arial" w:eastAsia="Arial" w:hAnsi="Arial"/>
          <w:b/>
          <w:bCs/>
          <w:color w:val="404040"/>
          <w:sz w:val="24"/>
          <w:szCs w:val="24"/>
        </w:rPr>
        <w:t xml:space="preserve">Queries Built</w:t>
      </w:r>
    </w:p>
    <w:p>
      <w:pPr>
        <w:pStyle w:val="ListParagraph"/>
        <w:numPr>
          <w:ilvl w:val="0"/>
          <w:numId w:val="2"/>
        </w:numPr>
        <w:spacing w:after="60" w:before="60"/>
      </w:pPr>
      <w:r>
        <w:rPr>
          <w:rFonts w:ascii="Arial" w:cs="Arial" w:eastAsia="Arial" w:hAnsi="Arial"/>
          <w:color w:val="2D2D2D"/>
          <w:sz w:val="22"/>
          <w:szCs w:val="22"/>
        </w:rPr>
        <w:t xml:space="preserve">RANK() OVER PARTITION BY — ranked customers by loan size within each income segment to identify highest-exposure borrowers</w:t>
      </w:r>
    </w:p>
    <w:p>
      <w:pPr>
        <w:pStyle w:val="ListParagraph"/>
        <w:numPr>
          <w:ilvl w:val="0"/>
          <w:numId w:val="2"/>
        </w:numPr>
        <w:spacing w:after="60" w:before="60"/>
      </w:pPr>
      <w:r>
        <w:rPr>
          <w:rFonts w:ascii="Arial" w:cs="Arial" w:eastAsia="Arial" w:hAnsi="Arial"/>
          <w:color w:val="2D2D2D"/>
          <w:sz w:val="22"/>
          <w:szCs w:val="22"/>
        </w:rPr>
        <w:t xml:space="preserve">PERCENT_RANK() OVER — assigned each Working class customer a percentile position in the loan size distribution (0 = smallest, 100 = largest)</w:t>
      </w:r>
    </w:p>
    <w:p>
      <w:pPr>
        <w:pStyle w:val="ListParagraph"/>
        <w:numPr>
          <w:ilvl w:val="0"/>
          <w:numId w:val="2"/>
        </w:numPr>
        <w:spacing w:after="60" w:before="60"/>
      </w:pPr>
      <w:r>
        <w:rPr>
          <w:rFonts w:ascii="Arial" w:cs="Arial" w:eastAsia="Arial" w:hAnsi="Arial"/>
          <w:color w:val="2D2D2D"/>
          <w:sz w:val="22"/>
          <w:szCs w:val="22"/>
        </w:rPr>
        <w:t xml:space="preserve">SUM() OVER running total — cumulative portfolio exposure showing how much credit is tied up as loan size increases</w:t>
      </w:r>
    </w:p>
    <w:p>
      <w:pPr>
        <w:pStyle w:val="ListParagraph"/>
        <w:numPr>
          <w:ilvl w:val="0"/>
          <w:numId w:val="2"/>
        </w:numPr>
        <w:spacing w:after="60" w:before="60"/>
      </w:pPr>
      <w:r>
        <w:rPr>
          <w:rFonts w:ascii="Arial" w:cs="Arial" w:eastAsia="Arial" w:hAnsi="Arial"/>
          <w:color w:val="2D2D2D"/>
          <w:sz w:val="22"/>
          <w:szCs w:val="22"/>
        </w:rPr>
        <w:t xml:space="preserve">Rolling 3-month late payment rate — AVG() OVER with ROWS BETWEEN 2 PRECEDING AND CURRENT ROW to smooth monthly late payment volatility</w:t>
      </w:r>
    </w:p>
    <w:p>
      <w:pPr>
        <w:spacing w:after="80" w:before="80"/>
      </w:pPr>
      <w:r>
        <w:t xml:space="preserve"/>
      </w:r>
    </w:p>
    <w:p>
      <w:pPr>
        <w:spacing w:after="100" w:before="200"/>
      </w:pPr>
      <w:r>
        <w:rPr>
          <w:rFonts w:ascii="Arial" w:cs="Arial" w:eastAsia="Arial" w:hAnsi="Arial"/>
          <w:b/>
          <w:bCs/>
          <w:color w:val="404040"/>
          <w:sz w:val="24"/>
          <w:szCs w:val="24"/>
        </w:rPr>
        <w:t xml:space="preserve">Late Payment Trend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 Payment Rate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Rolling 3M Avg</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Trend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Earliest months (bucket ~-97)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Mid period (bucket ~-85)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Improving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Recent months (bucket ~-75)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Stable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D9E75" w:sz="6"/>
              <w:left w:val="single" w:color="1D9E75" w:sz="18"/>
              <w:bottom w:val="single" w:color="1D9E75" w:sz="1"/>
              <w:right w:val="single" w:color="1D9E75" w:sz="1"/>
            </w:tcBorders>
            <w:shd w:fill="E1F5EE" w:val="clear"/>
            <w:tcMar>
              <w:top w:type="dxa" w:w="120"/>
              <w:left w:type="dxa" w:w="200"/>
              <w:bottom w:type="dxa" w:w="120"/>
              <w:right w:type="dxa" w:w="200"/>
            </w:tcMar>
          </w:tcPr>
          <w:p>
            <w:pPr>
              <w:spacing w:after="60" w:before="40"/>
            </w:pPr>
            <w:r>
              <w:rPr>
                <w:rFonts w:ascii="Arial" w:cs="Arial" w:eastAsia="Arial" w:hAnsi="Arial"/>
                <w:b/>
                <w:bCs/>
                <w:color w:val="085041"/>
                <w:sz w:val="22"/>
                <w:szCs w:val="22"/>
              </w:rPr>
              <w:t xml:space="preserve">Key Insight 5 — Payment Behaviour Improving</w:t>
            </w:r>
          </w:p>
          <w:p>
            <w:pPr>
              <w:spacing w:after="40" w:before="40"/>
            </w:pPr>
            <w:r>
              <w:rPr>
                <w:rFonts w:ascii="Arial" w:cs="Arial" w:eastAsia="Arial" w:hAnsi="Arial"/>
                <w:i/>
                <w:iCs/>
                <w:color w:val="085041"/>
                <w:sz w:val="22"/>
                <w:szCs w:val="22"/>
              </w:rPr>
              <w:t xml:space="preserve">Late payment rate declined from 12% in the earliest recorded months to a stable 10% in more recent periods. The rolling 3-month average confirms this is a genuine trend rather than month-to-month noise. This suggests that the loan book's payment discipline has improved over time — a positive portfolio quality signal.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12"/>
              <w:bottom w:val="single" w:color="2E75B6" w:sz="1"/>
              <w:right w:val="single" w:color="2E75B6" w:sz="1"/>
            </w:tcBorders>
            <w:shd w:fill="EBF3FB" w:val="clear"/>
            <w:tcMar>
              <w:top w:type="dxa" w:w="100"/>
              <w:left w:type="dxa" w:w="180"/>
              <w:bottom w:type="dxa" w:w="100"/>
              <w:right w:type="dxa" w:w="180"/>
            </w:tcMar>
          </w:tcPr>
          <w:p>
            <w:pPr>
              <w:spacing w:after="60" w:before="40"/>
            </w:pPr>
            <w:r>
              <w:rPr>
                <w:rFonts w:ascii="Arial" w:cs="Arial" w:eastAsia="Arial" w:hAnsi="Arial"/>
                <w:b/>
                <w:bCs/>
                <w:color w:val="0C447C"/>
                <w:sz w:val="20"/>
                <w:szCs w:val="20"/>
              </w:rPr>
              <w:t xml:space="preserve">Techniques used in this stage</w:t>
            </w:r>
          </w:p>
          <w:p>
            <w:pPr>
              <w:spacing w:after="40" w:before="20"/>
            </w:pPr>
            <w:r>
              <w:rPr>
                <w:rFonts w:ascii="Arial" w:cs="Arial" w:eastAsia="Arial" w:hAnsi="Arial"/>
                <w:color w:val="185FA5"/>
                <w:sz w:val="20"/>
                <w:szCs w:val="20"/>
              </w:rPr>
              <w:t xml:space="preserve">RANK() OVER  ·  PERCENT_RANK() OVER  ·  SUM() OVER  ·  AVG() OVER  ·  PARTITION BY  ·  ROWS BETWEEN  ·  LAG()</w:t>
            </w:r>
          </w:p>
        </w:tc>
      </w:tr>
    </w:tbl>
    <w:p>
      <w:pPr>
        <w:spacing w:after="80" w:before="80"/>
      </w:pPr>
      <w:r>
        <w:t xml:space="preserve"/>
      </w:r>
    </w:p>
    <w:p>
      <w:r>
        <w:br w:type="page"/>
      </w:r>
    </w:p>
    <w:p>
      <w:pPr>
        <w:pStyle w:val="Heading2"/>
        <w:spacing w:after="140" w:before="260"/>
      </w:pPr>
      <w:r>
        <w:rPr>
          <w:rFonts w:ascii="Arial" w:cs="Arial" w:eastAsia="Arial" w:hAnsi="Arial"/>
          <w:b/>
          <w:bCs/>
          <w:color w:val="2E75B6"/>
          <w:sz w:val="26"/>
          <w:szCs w:val="26"/>
        </w:rPr>
        <w:t xml:space="preserve">3.6 Stage 7 — Final risk_summary VIEW</w:t>
      </w:r>
    </w:p>
    <w:p>
      <w:pPr>
        <w:spacing w:after="80" w:before="80"/>
        <w:jc w:val="left"/>
      </w:pPr>
      <w:r>
        <w:rPr>
          <w:rFonts w:ascii="Arial" w:cs="Arial" w:eastAsia="Arial" w:hAnsi="Arial"/>
          <w:b w:val="false"/>
          <w:bCs w:val="false"/>
          <w:i w:val="false"/>
          <w:iCs w:val="false"/>
          <w:color w:val="2D2D2D"/>
          <w:sz w:val="22"/>
          <w:szCs w:val="22"/>
        </w:rPr>
        <w:t xml:space="preserve">The final stage created a permanent PostgreSQL view — risk_summary — consolidating all four tables into one comprehensive customer risk profile per row. This view is the single source of truth for both Excel and Power BI, ensuring all three tools work from identical, consistent data.</w:t>
      </w:r>
    </w:p>
    <w:p>
      <w:pPr>
        <w:spacing w:after="80" w:before="80"/>
      </w:pPr>
      <w:r>
        <w:t xml:space="preserve"/>
      </w:r>
    </w:p>
    <w:p>
      <w:pPr>
        <w:spacing w:after="100" w:before="200"/>
      </w:pPr>
      <w:r>
        <w:rPr>
          <w:rFonts w:ascii="Arial" w:cs="Arial" w:eastAsia="Arial" w:hAnsi="Arial"/>
          <w:b/>
          <w:bCs/>
          <w:color w:val="404040"/>
          <w:sz w:val="24"/>
          <w:szCs w:val="24"/>
        </w:rPr>
        <w:t xml:space="preserve">View Structure — 25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Group</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Columns Included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Identity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customer_id, defaulted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Demographics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age_years, gender, education, income_type, family_status, num_children, age_group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Employment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years_employed (with 365243 placeholder handled), occupation_type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Loan details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loan_type, loan_amount, annual_income, monthly_annuity, debt_to_income_ratio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Bureau history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num_bureau_credits, active_credits, avg_days_overdue, total_bureau_exposure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Previous loans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num_prev_applications, num_refusals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Payment behaviour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total_installments, late_payments, late_payment_rate_pct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Risk 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risk_tier (Low/Medium/High), expected_loss</w:t>
            </w:r>
          </w:p>
        </w:tc>
      </w:tr>
    </w:tbl>
    <w:p>
      <w:pPr>
        <w:spacing w:after="80" w:before="80"/>
      </w:pPr>
      <w:r>
        <w:t xml:space="preserve"/>
      </w:r>
    </w:p>
    <w:p>
      <w:pPr>
        <w:spacing w:after="100" w:before="200"/>
      </w:pPr>
      <w:r>
        <w:rPr>
          <w:rFonts w:ascii="Arial" w:cs="Arial" w:eastAsia="Arial" w:hAnsi="Arial"/>
          <w:b/>
          <w:bCs/>
          <w:color w:val="404040"/>
          <w:sz w:val="24"/>
          <w:szCs w:val="24"/>
        </w:rPr>
        <w:t xml:space="preserve">Risk Tier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Tier</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Loan Amount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Expected Loss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High Risk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141,981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757,429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4,399,279,877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Medium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99,217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544,301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1,058,966,493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Low Risk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66,313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341,752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188,751,836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D9E75" w:sz="6"/>
              <w:left w:val="single" w:color="1D9E75" w:sz="18"/>
              <w:bottom w:val="single" w:color="1D9E75" w:sz="1"/>
              <w:right w:val="single" w:color="1D9E75" w:sz="1"/>
            </w:tcBorders>
            <w:shd w:fill="E1F5EE" w:val="clear"/>
            <w:tcMar>
              <w:top w:type="dxa" w:w="120"/>
              <w:left w:type="dxa" w:w="200"/>
              <w:bottom w:type="dxa" w:w="120"/>
              <w:right w:type="dxa" w:w="200"/>
            </w:tcMar>
          </w:tcPr>
          <w:p>
            <w:pPr>
              <w:spacing w:after="60" w:before="40"/>
            </w:pPr>
            <w:r>
              <w:rPr>
                <w:rFonts w:ascii="Arial" w:cs="Arial" w:eastAsia="Arial" w:hAnsi="Arial"/>
                <w:b/>
                <w:bCs/>
                <w:color w:val="085041"/>
                <w:sz w:val="22"/>
                <w:szCs w:val="22"/>
              </w:rPr>
              <w:t xml:space="preserve">Key Insight 6 — High Risk Concentration</w:t>
            </w:r>
          </w:p>
          <w:p>
            <w:pPr>
              <w:spacing w:after="40" w:before="40"/>
            </w:pPr>
            <w:r>
              <w:rPr>
                <w:rFonts w:ascii="Arial" w:cs="Arial" w:eastAsia="Arial" w:hAnsi="Arial"/>
                <w:i/>
                <w:iCs/>
                <w:color w:val="085041"/>
                <w:sz w:val="22"/>
                <w:szCs w:val="22"/>
              </w:rPr>
              <w:t xml:space="preserve">High Risk customers represent 46% of the portfolio by count but drive 77% of total expected loss (4.4 billion vs 5.6 billion total). They also carry the largest loans on average (757K vs 341K for Low Risk). This concentration of both volume and exposure in the highest-risk tier is the most actionable portfolio finding — it directly informs credit limit policies, early warning triggers, and provisioning strategy.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12"/>
              <w:bottom w:val="single" w:color="2E75B6" w:sz="1"/>
              <w:right w:val="single" w:color="2E75B6" w:sz="1"/>
            </w:tcBorders>
            <w:shd w:fill="EBF3FB" w:val="clear"/>
            <w:tcMar>
              <w:top w:type="dxa" w:w="100"/>
              <w:left w:type="dxa" w:w="180"/>
              <w:bottom w:type="dxa" w:w="100"/>
              <w:right w:type="dxa" w:w="180"/>
            </w:tcMar>
          </w:tcPr>
          <w:p>
            <w:pPr>
              <w:spacing w:after="60" w:before="40"/>
            </w:pPr>
            <w:r>
              <w:rPr>
                <w:rFonts w:ascii="Arial" w:cs="Arial" w:eastAsia="Arial" w:hAnsi="Arial"/>
                <w:b/>
                <w:bCs/>
                <w:color w:val="0C447C"/>
                <w:sz w:val="20"/>
                <w:szCs w:val="20"/>
              </w:rPr>
              <w:t xml:space="preserve">Techniques used in this stage</w:t>
            </w:r>
          </w:p>
          <w:p>
            <w:pPr>
              <w:spacing w:after="40" w:before="20"/>
            </w:pPr>
            <w:r>
              <w:rPr>
                <w:rFonts w:ascii="Arial" w:cs="Arial" w:eastAsia="Arial" w:hAnsi="Arial"/>
                <w:color w:val="185FA5"/>
                <w:sz w:val="20"/>
                <w:szCs w:val="20"/>
              </w:rPr>
              <w:t xml:space="preserve">CREATE OR REPLACE VIEW  ·  Multi-CTE within VIEW  ·  CASE WHEN risk tiering  ·  Expected loss formula  ·  COALESCE for NULL handling  ·  Four-table LEFT JOIN</w:t>
            </w:r>
          </w:p>
        </w:tc>
      </w:tr>
    </w:tbl>
    <w:p>
      <w:pPr>
        <w:spacing w:after="80" w:before="80"/>
      </w:pPr>
      <w:r>
        <w:t xml:space="preserve"/>
      </w:r>
    </w:p>
    <w:p>
      <w:r>
        <w:br w:type="page"/>
      </w:r>
    </w:p>
    <w:p>
      <w:pPr>
        <w:pStyle w:val="Heading1"/>
        <w:pBdr>
          <w:bottom w:val="single" w:color="1F4E79" w:sz="6" w:space="1"/>
        </w:pBdr>
        <w:spacing w:after="200" w:before="360"/>
      </w:pPr>
      <w:r>
        <w:rPr>
          <w:rFonts w:ascii="Arial" w:cs="Arial" w:eastAsia="Arial" w:hAnsi="Arial"/>
          <w:b/>
          <w:bCs/>
          <w:color w:val="1F4E79"/>
          <w:sz w:val="32"/>
          <w:szCs w:val="32"/>
        </w:rPr>
        <w:t xml:space="preserve">4. Summary of Key Findings</w:t>
      </w:r>
    </w:p>
    <w:p>
      <w:pPr>
        <w:spacing w:after="80" w:before="80"/>
        <w:jc w:val="left"/>
      </w:pPr>
      <w:r>
        <w:rPr>
          <w:rFonts w:ascii="Arial" w:cs="Arial" w:eastAsia="Arial" w:hAnsi="Arial"/>
          <w:b w:val="false"/>
          <w:bCs w:val="false"/>
          <w:i w:val="false"/>
          <w:iCs w:val="false"/>
          <w:color w:val="2D2D2D"/>
          <w:sz w:val="22"/>
          <w:szCs w:val="22"/>
        </w:rPr>
        <w:t xml:space="preserve">Six business insights were identified across the SQL analysis stages: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Number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Employment stability drives default risk more than loan size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GROUP BY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Working 9.59% vs Pensioner 5.39%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Education level has a 6x impact on default probability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GROUP BY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Lower secondary 10.93% vs Academic 1.83%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Default risk decreases linearly with 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GROUP BY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Under 25: 12.31% → 55+: 5.21%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Working class drives portfolio EL through volume, not just PD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CTE / 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3.95B of total expected loss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D2D2D"/>
                <w:sz w:val="20"/>
                <w:szCs w:val="20"/>
              </w:rPr>
              <w:t xml:space="preserve">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Late payment behaviour has improved over the loan book's life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Window Fn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D2D2D"/>
                <w:sz w:val="20"/>
                <w:szCs w:val="20"/>
              </w:rPr>
              <w:t xml:space="preserve">12% → 10% decline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2D2D"/>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High Risk tier = 46% of customers but 77% of expected loss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20"/>
                <w:szCs w:val="20"/>
              </w:rPr>
              <w:t xml:space="preserve">4.4B vs 5.6B total</w:t>
            </w:r>
          </w:p>
        </w:tc>
      </w:tr>
    </w:tbl>
    <w:p>
      <w:pPr>
        <w:spacing w:after="80" w:before="80"/>
      </w:pPr>
      <w:r>
        <w:t xml:space="preserve"/>
      </w:r>
    </w:p>
    <w:p>
      <w:r>
        <w:br w:type="page"/>
      </w:r>
    </w:p>
    <w:p>
      <w:pPr>
        <w:pStyle w:val="Heading1"/>
        <w:pBdr>
          <w:bottom w:val="single" w:color="1F4E79" w:sz="6" w:space="1"/>
        </w:pBdr>
        <w:spacing w:after="200" w:before="360"/>
      </w:pPr>
      <w:r>
        <w:rPr>
          <w:rFonts w:ascii="Arial" w:cs="Arial" w:eastAsia="Arial" w:hAnsi="Arial"/>
          <w:b/>
          <w:bCs/>
          <w:color w:val="1F4E79"/>
          <w:sz w:val="32"/>
          <w:szCs w:val="32"/>
        </w:rPr>
        <w:t xml:space="preserve">5. Next Stages</w:t>
      </w:r>
    </w:p>
    <w:p>
      <w:pPr>
        <w:pStyle w:val="Heading2"/>
        <w:spacing w:after="140" w:before="260"/>
      </w:pPr>
      <w:r>
        <w:rPr>
          <w:rFonts w:ascii="Arial" w:cs="Arial" w:eastAsia="Arial" w:hAnsi="Arial"/>
          <w:b/>
          <w:bCs/>
          <w:color w:val="2E75B6"/>
          <w:sz w:val="26"/>
          <w:szCs w:val="26"/>
        </w:rPr>
        <w:t xml:space="preserve">5.1 Stage 2 — Excel</w:t>
      </w:r>
    </w:p>
    <w:p>
      <w:pPr>
        <w:pStyle w:val="ListParagraph"/>
        <w:numPr>
          <w:ilvl w:val="0"/>
          <w:numId w:val="2"/>
        </w:numPr>
        <w:spacing w:after="60" w:before="60"/>
      </w:pPr>
      <w:r>
        <w:rPr>
          <w:rFonts w:ascii="Arial" w:cs="Arial" w:eastAsia="Arial" w:hAnsi="Arial"/>
          <w:color w:val="2D2D2D"/>
          <w:sz w:val="22"/>
          <w:szCs w:val="22"/>
        </w:rPr>
        <w:t xml:space="preserve">Connect to risk_summary view via ODBC or CSV export</w:t>
      </w:r>
    </w:p>
    <w:p>
      <w:pPr>
        <w:pStyle w:val="ListParagraph"/>
        <w:numPr>
          <w:ilvl w:val="0"/>
          <w:numId w:val="2"/>
        </w:numPr>
        <w:spacing w:after="60" w:before="60"/>
      </w:pPr>
      <w:r>
        <w:rPr>
          <w:rFonts w:ascii="Arial" w:cs="Arial" w:eastAsia="Arial" w:hAnsi="Arial"/>
          <w:color w:val="2D2D2D"/>
          <w:sz w:val="22"/>
          <w:szCs w:val="22"/>
        </w:rPr>
        <w:t xml:space="preserve">Build a weighted risk scorecard: income stability, credit utilisation, delinquency history → 0–100 score</w:t>
      </w:r>
    </w:p>
    <w:p>
      <w:pPr>
        <w:pStyle w:val="ListParagraph"/>
        <w:numPr>
          <w:ilvl w:val="0"/>
          <w:numId w:val="2"/>
        </w:numPr>
        <w:spacing w:after="60" w:before="60"/>
      </w:pPr>
      <w:r>
        <w:rPr>
          <w:rFonts w:ascii="Arial" w:cs="Arial" w:eastAsia="Arial" w:hAnsi="Arial"/>
          <w:color w:val="2D2D2D"/>
          <w:sz w:val="22"/>
          <w:szCs w:val="22"/>
        </w:rPr>
        <w:t xml:space="preserve">Build Expected Loss model (PD × LGD × EAD) with Data Tables for scenario sensitivity</w:t>
      </w:r>
    </w:p>
    <w:p>
      <w:pPr>
        <w:pStyle w:val="ListParagraph"/>
        <w:numPr>
          <w:ilvl w:val="0"/>
          <w:numId w:val="2"/>
        </w:numPr>
        <w:spacing w:after="60" w:before="60"/>
      </w:pPr>
      <w:r>
        <w:rPr>
          <w:rFonts w:ascii="Arial" w:cs="Arial" w:eastAsia="Arial" w:hAnsi="Arial"/>
          <w:color w:val="2D2D2D"/>
          <w:sz w:val="22"/>
          <w:szCs w:val="22"/>
        </w:rPr>
        <w:t xml:space="preserve">Vintage/cohort analysis via PivotTables — default rate evolution by loan origination quarter</w:t>
      </w:r>
    </w:p>
    <w:p>
      <w:pPr>
        <w:spacing w:after="80" w:before="80"/>
      </w:pPr>
      <w:r>
        <w:t xml:space="preserve"/>
      </w:r>
    </w:p>
    <w:p>
      <w:pPr>
        <w:pStyle w:val="Heading2"/>
        <w:spacing w:after="140" w:before="260"/>
      </w:pPr>
      <w:r>
        <w:rPr>
          <w:rFonts w:ascii="Arial" w:cs="Arial" w:eastAsia="Arial" w:hAnsi="Arial"/>
          <w:b/>
          <w:bCs/>
          <w:color w:val="2E75B6"/>
          <w:sz w:val="26"/>
          <w:szCs w:val="26"/>
        </w:rPr>
        <w:t xml:space="preserve">5.2 Stage 3 — Power BI</w:t>
      </w:r>
    </w:p>
    <w:p>
      <w:pPr>
        <w:pStyle w:val="ListParagraph"/>
        <w:numPr>
          <w:ilvl w:val="0"/>
          <w:numId w:val="2"/>
        </w:numPr>
        <w:spacing w:after="60" w:before="60"/>
      </w:pPr>
      <w:r>
        <w:rPr>
          <w:rFonts w:ascii="Arial" w:cs="Arial" w:eastAsia="Arial" w:hAnsi="Arial"/>
          <w:color w:val="2D2D2D"/>
          <w:sz w:val="22"/>
          <w:szCs w:val="22"/>
        </w:rPr>
        <w:t xml:space="preserve">Connect directly to risk_summary view via PostgreSQL connector (live connection)</w:t>
      </w:r>
    </w:p>
    <w:p>
      <w:pPr>
        <w:pStyle w:val="ListParagraph"/>
        <w:numPr>
          <w:ilvl w:val="0"/>
          <w:numId w:val="2"/>
        </w:numPr>
        <w:spacing w:after="60" w:before="60"/>
      </w:pPr>
      <w:r>
        <w:rPr>
          <w:rFonts w:ascii="Arial" w:cs="Arial" w:eastAsia="Arial" w:hAnsi="Arial"/>
          <w:color w:val="2D2D2D"/>
          <w:sz w:val="22"/>
          <w:szCs w:val="22"/>
        </w:rPr>
        <w:t xml:space="preserve">Build DAX measures for PD, EAD, and expected loss rollups by segment</w:t>
      </w:r>
    </w:p>
    <w:p>
      <w:pPr>
        <w:pStyle w:val="ListParagraph"/>
        <w:numPr>
          <w:ilvl w:val="0"/>
          <w:numId w:val="2"/>
        </w:numPr>
        <w:spacing w:after="60" w:before="60"/>
      </w:pPr>
      <w:r>
        <w:rPr>
          <w:rFonts w:ascii="Arial" w:cs="Arial" w:eastAsia="Arial" w:hAnsi="Arial"/>
          <w:color w:val="2D2D2D"/>
          <w:sz w:val="22"/>
          <w:szCs w:val="22"/>
        </w:rPr>
        <w:t xml:space="preserve">KPI dashboard page: total exposure, portfolio default rate, expected loss, % high-risk</w:t>
      </w:r>
    </w:p>
    <w:p>
      <w:pPr>
        <w:pStyle w:val="ListParagraph"/>
        <w:numPr>
          <w:ilvl w:val="0"/>
          <w:numId w:val="2"/>
        </w:numPr>
        <w:spacing w:after="60" w:before="60"/>
      </w:pPr>
      <w:r>
        <w:rPr>
          <w:rFonts w:ascii="Arial" w:cs="Arial" w:eastAsia="Arial" w:hAnsi="Arial"/>
          <w:color w:val="2D2D2D"/>
          <w:sz w:val="22"/>
          <w:szCs w:val="22"/>
        </w:rPr>
        <w:t xml:space="preserve">Drill-through segmentation page: click any KPI card to explore that segment's individual loans</w:t>
      </w:r>
    </w:p>
    <w:p>
      <w:pPr>
        <w:spacing w:after="80" w:before="80"/>
      </w:pPr>
      <w:r>
        <w:t xml:space="preserve"/>
      </w:r>
    </w:p>
    <w:p>
      <w:pPr>
        <w:pStyle w:val="Heading2"/>
        <w:spacing w:after="140" w:before="260"/>
      </w:pPr>
      <w:r>
        <w:rPr>
          <w:rFonts w:ascii="Arial" w:cs="Arial" w:eastAsia="Arial" w:hAnsi="Arial"/>
          <w:b/>
          <w:bCs/>
          <w:color w:val="2E75B6"/>
          <w:sz w:val="26"/>
          <w:szCs w:val="26"/>
        </w:rPr>
        <w:t xml:space="preserve">5.3 Project Deployment</w:t>
      </w:r>
    </w:p>
    <w:p>
      <w:pPr>
        <w:pStyle w:val="ListParagraph"/>
        <w:numPr>
          <w:ilvl w:val="0"/>
          <w:numId w:val="2"/>
        </w:numPr>
        <w:spacing w:after="60" w:before="60"/>
      </w:pPr>
      <w:r>
        <w:rPr>
          <w:rFonts w:ascii="Arial" w:cs="Arial" w:eastAsia="Arial" w:hAnsi="Arial"/>
          <w:color w:val="2D2D2D"/>
          <w:sz w:val="22"/>
          <w:szCs w:val="22"/>
        </w:rPr>
        <w:t xml:space="preserve">GitHub repository: SQL scripts, load_data.py, Excel workbook, .pbix file, README</w:t>
      </w:r>
    </w:p>
    <w:p>
      <w:pPr>
        <w:pStyle w:val="ListParagraph"/>
        <w:numPr>
          <w:ilvl w:val="0"/>
          <w:numId w:val="2"/>
        </w:numPr>
        <w:spacing w:after="60" w:before="60"/>
      </w:pPr>
      <w:r>
        <w:rPr>
          <w:rFonts w:ascii="Arial" w:cs="Arial" w:eastAsia="Arial" w:hAnsi="Arial"/>
          <w:color w:val="2D2D2D"/>
          <w:sz w:val="22"/>
          <w:szCs w:val="22"/>
        </w:rPr>
        <w:t xml:space="preserve">Update this Word report after each stage completes</w:t>
      </w:r>
    </w:p>
    <w:p>
      <w:pPr>
        <w:pStyle w:val="ListParagraph"/>
        <w:numPr>
          <w:ilvl w:val="0"/>
          <w:numId w:val="2"/>
        </w:numPr>
        <w:spacing w:after="60" w:before="60"/>
      </w:pPr>
      <w:r>
        <w:rPr>
          <w:rFonts w:ascii="Arial" w:cs="Arial" w:eastAsia="Arial" w:hAnsi="Arial"/>
          <w:color w:val="2D2D2D"/>
          <w:sz w:val="22"/>
          <w:szCs w:val="22"/>
        </w:rPr>
        <w:t xml:space="preserve">LinkedIn post: story-driven, headline numbers, dashboard screenshot, GitHub link</w:t>
      </w:r>
    </w:p>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8"/>
        <w:szCs w:val="18"/>
      </w:rPr>
      <w:t xml:space="preserve">Credit Risk Analytics Project  |  SQL Stage — Complete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2026-06-20T07:57:32.119Z</dcterms:created>
  <dcterms:modified xsi:type="dcterms:W3CDTF">2026-06-20T07:57:32.135Z</dcterms:modified>
</cp:coreProperties>
</file>

<file path=docProps/custom.xml><?xml version="1.0" encoding="utf-8"?>
<Properties xmlns="http://schemas.openxmlformats.org/officeDocument/2006/custom-properties" xmlns:vt="http://schemas.openxmlformats.org/officeDocument/2006/docPropsVTypes"/>
</file>