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0"/>
          <w:szCs w:val="70"/>
          <w:rtl w:val="0"/>
        </w:rPr>
        <w:t xml:space="preserve">Lesson 3 </w:t>
      </w:r>
      <w:r w:rsidDel="00000000" w:rsidR="00000000" w:rsidRPr="00000000">
        <w:rPr>
          <w:sz w:val="72"/>
          <w:szCs w:val="72"/>
          <w:rtl w:val="0"/>
        </w:rPr>
        <w:t xml:space="preserve">Demo 4: Building a Maven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Maven project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Configuring git on Jenkins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Forking a sample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Creating a Jenkins build job to build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Building the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git on Jenkins.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from the Jenkins dashboard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git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to refer to the git installation.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path to git 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Path to git executable field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/usr/bin/git</w:t>
      </w:r>
      <w:r w:rsidDel="00000000" w:rsidR="00000000" w:rsidRPr="00000000">
        <w:rPr>
          <w:i w:val="1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and click Save.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Forking a sample repository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to your Github account.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https://github.com/jenkins-docs/simple-java-maven-app</w:t>
        </w:r>
      </w:hyperlink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Fork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clone [Forked_REPO URL]</w:t>
      </w:r>
      <w:r w:rsidDel="00000000" w:rsidR="00000000" w:rsidRPr="00000000">
        <w:rPr>
          <w:sz w:val="24"/>
          <w:szCs w:val="24"/>
          <w:rtl w:val="0"/>
        </w:rPr>
        <w:t xml:space="preserve"> to clone the repo locally.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5941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 Creating a Jenkins build job to build a Maven project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 Project</w:t>
      </w:r>
      <w:r w:rsidDel="00000000" w:rsidR="00000000" w:rsidRPr="00000000">
        <w:rPr>
          <w:sz w:val="24"/>
          <w:szCs w:val="24"/>
          <w:rtl w:val="0"/>
        </w:rPr>
        <w:t xml:space="preserve"> as the build job type.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the defaults as they are and 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local path to the app directory in the Repository URL field.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sz w:val="24"/>
          <w:szCs w:val="24"/>
          <w:rtl w:val="0"/>
        </w:rPr>
        <w:t xml:space="preserve">Building the Maven project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window. Jenkins will now build your project.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logs.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nkins-docs/simple-java-maven-app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CjYXjZvPs3jSijJMCrbZEudGAQ==">AMUW2mU/pz7QToCo4iYPqbtwoKT8e8RjAVgI5P2An5sGVl6Sz8KzVmo6MnEkD4WRknRuJgNNDbqbDh8UAgliUc9lEqpYdStGAzE5K4DtvzvFmCUBiwB6t3o=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