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B2CB" w14:textId="119A425D" w:rsidR="00EC67D3" w:rsidRPr="0031554F" w:rsidRDefault="005C6615">
      <w:pPr>
        <w:rPr>
          <w:b/>
          <w:bCs/>
          <w:sz w:val="32"/>
          <w:szCs w:val="32"/>
        </w:rPr>
      </w:pPr>
      <w:r w:rsidRPr="0031554F">
        <w:rPr>
          <w:b/>
          <w:bCs/>
          <w:sz w:val="32"/>
          <w:szCs w:val="32"/>
        </w:rPr>
        <w:t>Issues with Densol Tender</w:t>
      </w:r>
    </w:p>
    <w:p w14:paraId="6E2723AE" w14:textId="0EF7232F" w:rsidR="000266D6" w:rsidRPr="000266D6" w:rsidRDefault="000266D6" w:rsidP="005C6615">
      <w:pPr>
        <w:pStyle w:val="ListParagraph"/>
        <w:numPr>
          <w:ilvl w:val="0"/>
          <w:numId w:val="1"/>
        </w:numPr>
      </w:pPr>
      <w:r w:rsidRPr="000266D6">
        <w:t xml:space="preserve">Missing </w:t>
      </w:r>
      <w:r>
        <w:t xml:space="preserve">scope </w:t>
      </w:r>
    </w:p>
    <w:tbl>
      <w:tblPr>
        <w:tblW w:w="14717" w:type="dxa"/>
        <w:tblInd w:w="-1337" w:type="dxa"/>
        <w:tblLook w:val="04A0" w:firstRow="1" w:lastRow="0" w:firstColumn="1" w:lastColumn="0" w:noHBand="0" w:noVBand="1"/>
      </w:tblPr>
      <w:tblGrid>
        <w:gridCol w:w="278"/>
        <w:gridCol w:w="2667"/>
        <w:gridCol w:w="2969"/>
        <w:gridCol w:w="1020"/>
        <w:gridCol w:w="1016"/>
        <w:gridCol w:w="1215"/>
        <w:gridCol w:w="1972"/>
        <w:gridCol w:w="1020"/>
        <w:gridCol w:w="1020"/>
        <w:gridCol w:w="1540"/>
      </w:tblGrid>
      <w:tr w:rsidR="000266D6" w:rsidRPr="000266D6" w14:paraId="3DD08CC4" w14:textId="77777777" w:rsidTr="00BD0ADB">
        <w:trPr>
          <w:trHeight w:val="60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90CA1C" w14:textId="77777777" w:rsidR="000266D6" w:rsidRPr="000266D6" w:rsidRDefault="000266D6" w:rsidP="000266D6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0266D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696C6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5.6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2F47B" w14:textId="77777777" w:rsidR="000266D6" w:rsidRPr="000266D6" w:rsidRDefault="000266D6" w:rsidP="000266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Cast In-Situ Concrete Traffic Barrier including Scabbling, Form and Finish Concrete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089F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991DA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97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D4D15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0330642" w14:textId="77777777" w:rsidR="000266D6" w:rsidRPr="000266D6" w:rsidRDefault="000266D6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$0.00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3CD8B" w14:textId="77777777" w:rsidR="000266D6" w:rsidRPr="000266D6" w:rsidRDefault="000266D6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136D9" w14:textId="77777777" w:rsidR="000266D6" w:rsidRPr="000266D6" w:rsidRDefault="000266D6" w:rsidP="00026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1E526" w14:textId="77777777" w:rsidR="000266D6" w:rsidRPr="000266D6" w:rsidRDefault="000266D6" w:rsidP="00026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266D6" w:rsidRPr="000266D6" w14:paraId="292F214A" w14:textId="77777777" w:rsidTr="00BD0ADB">
        <w:trPr>
          <w:trHeight w:val="60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553DA16" w14:textId="77777777" w:rsidR="000266D6" w:rsidRPr="000266D6" w:rsidRDefault="000266D6" w:rsidP="000266D6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23D9B" w14:textId="101CD00E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24551" w14:textId="3D27FB6D" w:rsidR="000266D6" w:rsidRPr="000266D6" w:rsidRDefault="000266D6" w:rsidP="000266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Install </w:t>
            </w:r>
            <w:proofErr w:type="spellStart"/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Bondek</w:t>
            </w:r>
            <w:proofErr w:type="spellEnd"/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1.0 </w:t>
            </w:r>
            <w:proofErr w:type="spellStart"/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BMTon</w:t>
            </w:r>
            <w:proofErr w:type="spellEnd"/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Footway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DE5D5" w14:textId="6DEF322A" w:rsidR="000266D6" w:rsidRDefault="00D55A0F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</w:t>
            </w:r>
            <w:r w:rsid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  <w:p w14:paraId="3B09FE61" w14:textId="7AEC4708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0B3CC" w14:textId="729DFA7D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658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4372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5E37F2" w14:textId="77777777" w:rsidR="000266D6" w:rsidRPr="000266D6" w:rsidRDefault="000266D6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94F5FD" w14:textId="77777777" w:rsidR="000266D6" w:rsidRPr="000266D6" w:rsidRDefault="000266D6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ADB1CA" w14:textId="77777777" w:rsidR="000266D6" w:rsidRPr="000266D6" w:rsidRDefault="000266D6" w:rsidP="00026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8A8C24" w14:textId="77777777" w:rsidR="000266D6" w:rsidRPr="000266D6" w:rsidRDefault="000266D6" w:rsidP="00026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D0ADB" w:rsidRPr="000266D6" w14:paraId="24CBD450" w14:textId="77777777" w:rsidTr="00BD0ADB">
        <w:trPr>
          <w:trHeight w:val="60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F600E3A" w14:textId="77777777" w:rsidR="00BD0ADB" w:rsidRPr="000266D6" w:rsidRDefault="00BD0ADB" w:rsidP="000266D6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EBF2F" w14:textId="1F32212F" w:rsidR="00BD0ADB" w:rsidRDefault="00BD0ADB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5.1.2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2826" w14:textId="00A5119B" w:rsidR="00BD0ADB" w:rsidRPr="000266D6" w:rsidRDefault="00BD0ADB" w:rsidP="000266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D0AD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Deck slab - Allow Bracket &amp; Walkway along both sides of bridge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5E483" w14:textId="600C33C4" w:rsidR="00BD0ADB" w:rsidRDefault="00BD0ADB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C63F6" w14:textId="538E1E4E" w:rsidR="00BD0ADB" w:rsidRDefault="00BD0ADB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660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39D34" w14:textId="7FD8269E" w:rsidR="00BD0ADB" w:rsidRPr="000266D6" w:rsidRDefault="00BD0ADB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BD0AD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  <w:t>$         500.00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F727648" w14:textId="632AF13B" w:rsidR="00BD0ADB" w:rsidRPr="000266D6" w:rsidRDefault="00BD0ADB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D0AD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$330,000.00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30904E" w14:textId="77777777" w:rsidR="00BD0ADB" w:rsidRPr="000266D6" w:rsidRDefault="00BD0ADB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1CEC9B" w14:textId="77777777" w:rsidR="00BD0ADB" w:rsidRPr="000266D6" w:rsidRDefault="00BD0ADB" w:rsidP="00026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ADE235" w14:textId="77777777" w:rsidR="00BD0ADB" w:rsidRPr="000266D6" w:rsidRDefault="00BD0ADB" w:rsidP="00026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379ECFC6" w14:textId="77777777" w:rsidR="000266D6" w:rsidRDefault="000266D6" w:rsidP="000266D6">
      <w:pPr>
        <w:pStyle w:val="ListParagraph"/>
      </w:pPr>
    </w:p>
    <w:p w14:paraId="212999EB" w14:textId="77777777" w:rsidR="000266D6" w:rsidRDefault="000266D6" w:rsidP="000266D6">
      <w:pPr>
        <w:pStyle w:val="ListParagraph"/>
      </w:pPr>
    </w:p>
    <w:p w14:paraId="01735C8A" w14:textId="77777777" w:rsidR="000266D6" w:rsidRDefault="000266D6" w:rsidP="000266D6">
      <w:pPr>
        <w:pStyle w:val="ListParagraph"/>
      </w:pPr>
    </w:p>
    <w:p w14:paraId="61601E77" w14:textId="210ADEB2" w:rsidR="000266D6" w:rsidRPr="000266D6" w:rsidRDefault="000266D6" w:rsidP="000266D6">
      <w:pPr>
        <w:pStyle w:val="ListParagraph"/>
        <w:numPr>
          <w:ilvl w:val="0"/>
          <w:numId w:val="1"/>
        </w:numPr>
      </w:pPr>
      <w:r w:rsidRPr="000266D6">
        <w:t>Incorrect quantit</w:t>
      </w:r>
      <w:r>
        <w:t>ies</w:t>
      </w:r>
    </w:p>
    <w:tbl>
      <w:tblPr>
        <w:tblW w:w="10900" w:type="dxa"/>
        <w:tblInd w:w="-952" w:type="dxa"/>
        <w:tblLook w:val="04A0" w:firstRow="1" w:lastRow="0" w:firstColumn="1" w:lastColumn="0" w:noHBand="0" w:noVBand="1"/>
      </w:tblPr>
      <w:tblGrid>
        <w:gridCol w:w="2680"/>
        <w:gridCol w:w="2980"/>
        <w:gridCol w:w="1020"/>
        <w:gridCol w:w="1020"/>
        <w:gridCol w:w="1220"/>
        <w:gridCol w:w="1980"/>
      </w:tblGrid>
      <w:tr w:rsidR="000266D6" w:rsidRPr="000266D6" w14:paraId="58517957" w14:textId="77777777" w:rsidTr="000266D6">
        <w:trPr>
          <w:trHeight w:val="255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2F416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2.4.1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AAC16" w14:textId="77777777" w:rsidR="000266D6" w:rsidRPr="000266D6" w:rsidRDefault="000266D6" w:rsidP="000266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Pier </w:t>
            </w:r>
            <w:proofErr w:type="gramStart"/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Headstocks  -</w:t>
            </w:r>
            <w:proofErr w:type="gramEnd"/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P3 to P9 - Wet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89565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m3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80F84" w14:textId="061DEC6F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435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(123 incorrect)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83443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D9CB19" w14:textId="77777777" w:rsidR="000266D6" w:rsidRPr="000266D6" w:rsidRDefault="000266D6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$0.00</w:t>
            </w:r>
          </w:p>
        </w:tc>
      </w:tr>
      <w:tr w:rsidR="000266D6" w:rsidRPr="000266D6" w14:paraId="4B3B6BFE" w14:textId="77777777" w:rsidTr="000266D6">
        <w:trPr>
          <w:trHeight w:val="255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37ECB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5.2.2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4055E" w14:textId="77777777" w:rsidR="000266D6" w:rsidRPr="000266D6" w:rsidRDefault="000266D6" w:rsidP="000266D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Blow out before pouring concrete - Deck Slab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ECCE8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m2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78704" w14:textId="7DE6D07A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1,200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(2,200 incorrect)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3A122" w14:textId="77777777" w:rsidR="000266D6" w:rsidRPr="000266D6" w:rsidRDefault="000266D6" w:rsidP="000266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1978C7" w14:textId="77777777" w:rsidR="000266D6" w:rsidRPr="000266D6" w:rsidRDefault="000266D6" w:rsidP="000266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66D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$0.00</w:t>
            </w:r>
          </w:p>
        </w:tc>
      </w:tr>
    </w:tbl>
    <w:p w14:paraId="498C238A" w14:textId="0C646D86" w:rsidR="000266D6" w:rsidRDefault="000266D6" w:rsidP="000266D6">
      <w:pPr>
        <w:rPr>
          <w:b/>
          <w:bCs/>
          <w:sz w:val="28"/>
          <w:szCs w:val="28"/>
        </w:rPr>
      </w:pPr>
    </w:p>
    <w:p w14:paraId="03CA5DB6" w14:textId="0579D328" w:rsidR="00D55A0F" w:rsidRDefault="00D55A0F" w:rsidP="000266D6">
      <w:pPr>
        <w:rPr>
          <w:b/>
          <w:bCs/>
          <w:sz w:val="28"/>
          <w:szCs w:val="28"/>
        </w:rPr>
      </w:pPr>
    </w:p>
    <w:p w14:paraId="2DA65650" w14:textId="357A450A" w:rsidR="00D55A0F" w:rsidRDefault="00D55A0F" w:rsidP="00D55A0F">
      <w:pPr>
        <w:pStyle w:val="ListParagraph"/>
        <w:numPr>
          <w:ilvl w:val="0"/>
          <w:numId w:val="1"/>
        </w:numPr>
      </w:pPr>
      <w:r w:rsidRPr="00D55A0F">
        <w:t xml:space="preserve">High Rate </w:t>
      </w:r>
    </w:p>
    <w:tbl>
      <w:tblPr>
        <w:tblW w:w="11187" w:type="dxa"/>
        <w:tblInd w:w="-1165" w:type="dxa"/>
        <w:tblLook w:val="04A0" w:firstRow="1" w:lastRow="0" w:firstColumn="1" w:lastColumn="0" w:noHBand="0" w:noVBand="1"/>
      </w:tblPr>
      <w:tblGrid>
        <w:gridCol w:w="2208"/>
        <w:gridCol w:w="3656"/>
        <w:gridCol w:w="1177"/>
        <w:gridCol w:w="1006"/>
        <w:gridCol w:w="1398"/>
        <w:gridCol w:w="1742"/>
      </w:tblGrid>
      <w:tr w:rsidR="00DF3287" w:rsidRPr="00DF3287" w14:paraId="02A10162" w14:textId="77777777" w:rsidTr="00DF3287">
        <w:trPr>
          <w:trHeight w:val="466"/>
        </w:trPr>
        <w:tc>
          <w:tcPr>
            <w:tcW w:w="22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50B485C" w14:textId="77777777" w:rsidR="00DF3287" w:rsidRPr="00DF3287" w:rsidRDefault="00DF3287" w:rsidP="00DF32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F32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3.1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E3A20C" w14:textId="77777777" w:rsidR="00DF3287" w:rsidRPr="00DF3287" w:rsidRDefault="00DF3287" w:rsidP="00DF32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F32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Abutment Headstocks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CCA223" w14:textId="77777777" w:rsidR="00DF3287" w:rsidRPr="00DF3287" w:rsidRDefault="00DF3287" w:rsidP="00DF32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F32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751B9E" w14:textId="77777777" w:rsidR="00DF3287" w:rsidRPr="00DF3287" w:rsidRDefault="00DF3287" w:rsidP="00DF32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F32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21.8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E9B526" w14:textId="77777777" w:rsidR="00DF3287" w:rsidRDefault="00DF3287" w:rsidP="00DF328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</w:pPr>
            <w:r w:rsidRPr="00DF328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  <w:t xml:space="preserve"> $      1,557.38 </w:t>
            </w:r>
          </w:p>
          <w:p w14:paraId="03B13C77" w14:textId="320693BC" w:rsidR="00DF3287" w:rsidRPr="00DF3287" w:rsidRDefault="00DF3287" w:rsidP="00DF328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  <w:t>(4356.76 high rate)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1696052" w14:textId="77777777" w:rsidR="00DF3287" w:rsidRPr="00DF3287" w:rsidRDefault="00DF3287" w:rsidP="00DF32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F32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$0.00</w:t>
            </w:r>
          </w:p>
        </w:tc>
      </w:tr>
    </w:tbl>
    <w:p w14:paraId="2EB7520C" w14:textId="77777777" w:rsidR="00DF3287" w:rsidRDefault="00DF3287" w:rsidP="00DF3287"/>
    <w:p w14:paraId="2EC56E49" w14:textId="415E4F3D" w:rsidR="00D55A0F" w:rsidRDefault="00D55A0F" w:rsidP="00D55A0F"/>
    <w:tbl>
      <w:tblPr>
        <w:tblpPr w:leftFromText="180" w:rightFromText="180" w:vertAnchor="text" w:horzAnchor="page" w:tblpX="303" w:tblpY="410"/>
        <w:tblW w:w="11177" w:type="dxa"/>
        <w:tblLook w:val="04A0" w:firstRow="1" w:lastRow="0" w:firstColumn="1" w:lastColumn="0" w:noHBand="0" w:noVBand="1"/>
      </w:tblPr>
      <w:tblGrid>
        <w:gridCol w:w="2206"/>
        <w:gridCol w:w="3653"/>
        <w:gridCol w:w="1176"/>
        <w:gridCol w:w="1005"/>
        <w:gridCol w:w="1397"/>
        <w:gridCol w:w="1740"/>
      </w:tblGrid>
      <w:tr w:rsidR="004B5BF3" w:rsidRPr="004B5BF3" w14:paraId="3F8E074B" w14:textId="77777777" w:rsidTr="004B5BF3">
        <w:trPr>
          <w:trHeight w:val="771"/>
        </w:trPr>
        <w:tc>
          <w:tcPr>
            <w:tcW w:w="22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14D13C4" w14:textId="77777777" w:rsidR="004B5BF3" w:rsidRPr="004B5BF3" w:rsidRDefault="004B5BF3" w:rsidP="004B5B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</w:pPr>
            <w:r w:rsidRPr="004B5BF3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5.5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C2390" w14:textId="77777777" w:rsidR="004B5BF3" w:rsidRPr="004B5BF3" w:rsidRDefault="004B5BF3" w:rsidP="004B5BF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B5BF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Stitch Pour </w:t>
            </w:r>
            <w:proofErr w:type="gramStart"/>
            <w:r w:rsidRPr="004B5BF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for  Concrete</w:t>
            </w:r>
            <w:proofErr w:type="gramEnd"/>
            <w:r w:rsidRPr="004B5BF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Barrier including Scabbling, Form &amp; Finishing Concrete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ED3198" w14:textId="77777777" w:rsidR="004B5BF3" w:rsidRPr="004B5BF3" w:rsidRDefault="004B5BF3" w:rsidP="004B5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B5BF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m3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944560" w14:textId="77777777" w:rsidR="004B5BF3" w:rsidRPr="004B5BF3" w:rsidRDefault="004B5BF3" w:rsidP="004B5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B5BF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9B0446" w14:textId="77777777" w:rsidR="004B5BF3" w:rsidRDefault="004B5BF3" w:rsidP="004B5B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</w:pPr>
            <w:r w:rsidRPr="004B5BF3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  <w:t xml:space="preserve"> $      1,989.21 </w:t>
            </w:r>
          </w:p>
          <w:p w14:paraId="30362D59" w14:textId="5DBFB100" w:rsidR="004B5BF3" w:rsidRPr="004B5BF3" w:rsidRDefault="004B5BF3" w:rsidP="004B5B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AU"/>
              </w:rPr>
              <w:t>(454.78 – Low rate)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766F06" w14:textId="77777777" w:rsidR="004B5BF3" w:rsidRPr="004B5BF3" w:rsidRDefault="004B5BF3" w:rsidP="004B5BF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B5BF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$0.00</w:t>
            </w:r>
          </w:p>
        </w:tc>
      </w:tr>
    </w:tbl>
    <w:p w14:paraId="5A12BCFD" w14:textId="3114DE00" w:rsidR="00DF3287" w:rsidRDefault="004B5BF3" w:rsidP="004B5BF3">
      <w:pPr>
        <w:pStyle w:val="ListParagraph"/>
        <w:numPr>
          <w:ilvl w:val="0"/>
          <w:numId w:val="1"/>
        </w:numPr>
      </w:pPr>
      <w:r>
        <w:t xml:space="preserve"> </w:t>
      </w:r>
      <w:r w:rsidR="00DF3287">
        <w:t>Low Rate</w:t>
      </w:r>
    </w:p>
    <w:p w14:paraId="3A025249" w14:textId="2C84A6AE" w:rsidR="004B5BF3" w:rsidRDefault="004B5BF3" w:rsidP="004B5BF3"/>
    <w:p w14:paraId="77FB2492" w14:textId="78B6DA30" w:rsidR="0031554F" w:rsidRDefault="0031554F" w:rsidP="004B5BF3"/>
    <w:p w14:paraId="19DD6C09" w14:textId="5E864DD7" w:rsidR="0031554F" w:rsidRDefault="0031554F" w:rsidP="004B5BF3"/>
    <w:p w14:paraId="61651043" w14:textId="7D2DCE66" w:rsidR="0031554F" w:rsidRDefault="0031554F" w:rsidP="004B5BF3"/>
    <w:p w14:paraId="61542D1E" w14:textId="7553C0B8" w:rsidR="0031554F" w:rsidRDefault="0031554F" w:rsidP="004B5BF3"/>
    <w:p w14:paraId="29155778" w14:textId="32C95D8D" w:rsidR="0031554F" w:rsidRDefault="0031554F" w:rsidP="004B5BF3"/>
    <w:p w14:paraId="7216C495" w14:textId="6E808A94" w:rsidR="0031554F" w:rsidRDefault="0031554F" w:rsidP="004B5BF3"/>
    <w:p w14:paraId="545132BF" w14:textId="4A14A147" w:rsidR="0031554F" w:rsidRDefault="0031554F" w:rsidP="004B5BF3"/>
    <w:p w14:paraId="147BFD1C" w14:textId="73A9C641" w:rsidR="0031554F" w:rsidRDefault="0031554F" w:rsidP="004B5BF3"/>
    <w:p w14:paraId="3AF387B3" w14:textId="2BA9BCBD" w:rsidR="0031554F" w:rsidRDefault="0031554F" w:rsidP="004B5BF3"/>
    <w:p w14:paraId="29BA68EA" w14:textId="5FAD1F08" w:rsidR="0031554F" w:rsidRDefault="0031554F" w:rsidP="004B5BF3">
      <w:pPr>
        <w:rPr>
          <w:b/>
          <w:bCs/>
          <w:sz w:val="32"/>
          <w:szCs w:val="32"/>
        </w:rPr>
      </w:pPr>
      <w:r w:rsidRPr="0031554F">
        <w:rPr>
          <w:b/>
          <w:bCs/>
          <w:sz w:val="32"/>
          <w:szCs w:val="32"/>
        </w:rPr>
        <w:lastRenderedPageBreak/>
        <w:t>Subcontractor Recommendation</w:t>
      </w:r>
    </w:p>
    <w:p w14:paraId="56F9243C" w14:textId="76F067A2" w:rsidR="00EE5802" w:rsidRDefault="00EE5802" w:rsidP="00EE5802">
      <w:pPr>
        <w:rPr>
          <w:rFonts w:eastAsia="Times New Roman" w:cstheme="minorHAnsi"/>
          <w:color w:val="000000"/>
          <w:sz w:val="24"/>
          <w:szCs w:val="24"/>
          <w:lang w:eastAsia="en-AU"/>
        </w:rPr>
      </w:pP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There are several things we need to consider and be cautious of when reviewing tenders. These include: </w:t>
      </w:r>
    </w:p>
    <w:p w14:paraId="2EF00753" w14:textId="797328F0" w:rsidR="00EE5802" w:rsidRPr="00EE5802" w:rsidRDefault="00EE5802" w:rsidP="00EE580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EE5802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Missing scope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- 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some subcontractor tenders will have missing scope of works in their tenders and can give an illusion of cheaper price.</w:t>
      </w:r>
    </w:p>
    <w:p w14:paraId="4955BE23" w14:textId="5879E4F6" w:rsidR="00EE5802" w:rsidRPr="00EE5802" w:rsidRDefault="00EE5802" w:rsidP="00EE580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EE5802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High rate </w:t>
      </w:r>
      <w:r w:rsidR="0031128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–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>some subcontractors will provide a higher rate than others to earn more profit.</w:t>
      </w:r>
      <w:r w:rsidR="0031128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>Rates need to be compared with other subcontractors to consider the best average rate</w:t>
      </w:r>
    </w:p>
    <w:p w14:paraId="796C2D63" w14:textId="7DB8FBF9" w:rsidR="00EE5802" w:rsidRPr="00EE5802" w:rsidRDefault="00EE5802" w:rsidP="00EE580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EE5802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Low rate </w:t>
      </w:r>
      <w:r w:rsidR="0031128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–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>if a rate provided by a subcontractor is incredibly low then there is an issue, we need to be aware of. When a subcontractor provides a low rate it generally is because they have priced an incorrect quantity. I</w:t>
      </w:r>
      <w:r w:rsidR="0031128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t can also be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that they are supplying lower </w:t>
      </w:r>
      <w:r w:rsidR="00311283">
        <w:rPr>
          <w:rFonts w:eastAsia="Times New Roman" w:cstheme="minorHAnsi"/>
          <w:color w:val="000000"/>
          <w:sz w:val="24"/>
          <w:szCs w:val="24"/>
          <w:lang w:eastAsia="en-AU"/>
        </w:rPr>
        <w:t>or out of specification materials.</w:t>
      </w:r>
    </w:p>
    <w:p w14:paraId="461625A7" w14:textId="08A8767C" w:rsidR="00EE5802" w:rsidRPr="00311283" w:rsidRDefault="00EE5802" w:rsidP="00EE5802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EE5802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Inclusions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–</w:t>
      </w:r>
      <w:r w:rsidR="0031128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>inclusions need to be carefully examined so we can compare the subcontractor rates accurately. Subcontractors may include different items in the scope of works to the original price.</w:t>
      </w:r>
    </w:p>
    <w:p w14:paraId="5AAF46B7" w14:textId="2FFAD7F2" w:rsidR="00EE5802" w:rsidRPr="00311283" w:rsidRDefault="00EE5802" w:rsidP="00EE5802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EE5802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Exclusions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– </w:t>
      </w:r>
      <w:r w:rsidRPr="0031128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exclusions must be noted as these will need to be added in the subcontractor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>total sum.</w:t>
      </w:r>
      <w:r w:rsidR="0031128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The total price of the subcontractor may seem cheaper </w:t>
      </w:r>
      <w:r w:rsidR="00E2208B" w:rsidRPr="00311283">
        <w:rPr>
          <w:rFonts w:eastAsia="Times New Roman" w:cstheme="minorHAnsi"/>
          <w:color w:val="000000"/>
          <w:sz w:val="24"/>
          <w:szCs w:val="24"/>
          <w:lang w:eastAsia="en-AU"/>
        </w:rPr>
        <w:t>than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others initially which can mislead to </w:t>
      </w:r>
      <w:r w:rsidR="00E2208B">
        <w:rPr>
          <w:rFonts w:eastAsia="Times New Roman" w:cstheme="minorHAnsi"/>
          <w:color w:val="000000"/>
          <w:sz w:val="24"/>
          <w:szCs w:val="24"/>
          <w:lang w:eastAsia="en-AU"/>
        </w:rPr>
        <w:t>inaccurate decision making.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</w:t>
      </w:r>
    </w:p>
    <w:p w14:paraId="07F95303" w14:textId="0C026874" w:rsidR="00E2208B" w:rsidRPr="00B07F3C" w:rsidRDefault="00EE5802" w:rsidP="00B55095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  <w:r w:rsidRPr="00EE5802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Incorrect quantities</w:t>
      </w:r>
      <w:r w:rsidR="00311283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 xml:space="preserve">- </w:t>
      </w:r>
      <w:r w:rsidR="00311283" w:rsidRPr="00311283">
        <w:rPr>
          <w:rFonts w:eastAsia="Times New Roman" w:cstheme="minorHAnsi"/>
          <w:color w:val="000000"/>
          <w:sz w:val="24"/>
          <w:szCs w:val="24"/>
          <w:lang w:eastAsia="en-AU"/>
        </w:rPr>
        <w:t>if a subcontractor has priced an incorrect quantity of the scope of works then this may lead to either a higher or lower total price.</w:t>
      </w:r>
      <w:r w:rsidR="00E2208B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Subcontractor tender quantities should reflect the original procurement quantities provided by the contractor.</w:t>
      </w:r>
    </w:p>
    <w:p w14:paraId="536DD8BF" w14:textId="77777777" w:rsidR="00B07F3C" w:rsidRPr="00B07F3C" w:rsidRDefault="00B07F3C" w:rsidP="00B07F3C">
      <w:pPr>
        <w:ind w:left="360"/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</w:pPr>
    </w:p>
    <w:p w14:paraId="231574DD" w14:textId="06806D9A" w:rsidR="00B55095" w:rsidRPr="00A61E1A" w:rsidRDefault="00B55095" w:rsidP="00B55095">
      <w:pPr>
        <w:rPr>
          <w:rFonts w:cstheme="minorHAnsi"/>
          <w:sz w:val="24"/>
          <w:szCs w:val="24"/>
        </w:rPr>
      </w:pPr>
      <w:r w:rsidRPr="00A61E1A">
        <w:rPr>
          <w:rFonts w:cstheme="minorHAnsi"/>
          <w:sz w:val="24"/>
          <w:szCs w:val="24"/>
        </w:rPr>
        <w:t>After considering inclusions, exclusions</w:t>
      </w:r>
      <w:r w:rsidR="00250C0C">
        <w:rPr>
          <w:rFonts w:cstheme="minorHAnsi"/>
          <w:sz w:val="24"/>
          <w:szCs w:val="24"/>
        </w:rPr>
        <w:t xml:space="preserve">, scope of works, quantities </w:t>
      </w:r>
      <w:r w:rsidR="00EE5802">
        <w:rPr>
          <w:rFonts w:cstheme="minorHAnsi"/>
          <w:sz w:val="24"/>
          <w:szCs w:val="24"/>
        </w:rPr>
        <w:t xml:space="preserve">and other relevant factors, </w:t>
      </w:r>
      <w:r w:rsidRPr="00A61E1A">
        <w:rPr>
          <w:rFonts w:cstheme="minorHAnsi"/>
          <w:sz w:val="24"/>
          <w:szCs w:val="24"/>
        </w:rPr>
        <w:t>Robem</w:t>
      </w:r>
      <w:r w:rsidR="00A61E1A" w:rsidRPr="00A61E1A">
        <w:rPr>
          <w:rFonts w:cstheme="minorHAnsi"/>
          <w:sz w:val="24"/>
          <w:szCs w:val="24"/>
        </w:rPr>
        <w:t>e</w:t>
      </w:r>
      <w:r w:rsidRPr="00A61E1A">
        <w:rPr>
          <w:rFonts w:cstheme="minorHAnsi"/>
          <w:sz w:val="24"/>
          <w:szCs w:val="24"/>
        </w:rPr>
        <w:t xml:space="preserve">n represents the best selection out of the other subcontractors. </w:t>
      </w:r>
    </w:p>
    <w:p w14:paraId="2F919C0D" w14:textId="77777777" w:rsidR="00A61E1A" w:rsidRPr="00A61E1A" w:rsidRDefault="00B55095" w:rsidP="00A61E1A">
      <w:pPr>
        <w:rPr>
          <w:rFonts w:cstheme="minorHAnsi"/>
          <w:sz w:val="24"/>
          <w:szCs w:val="24"/>
        </w:rPr>
      </w:pPr>
      <w:r w:rsidRPr="00A61E1A">
        <w:rPr>
          <w:rFonts w:cstheme="minorHAnsi"/>
          <w:sz w:val="24"/>
          <w:szCs w:val="24"/>
        </w:rPr>
        <w:t xml:space="preserve">Robeman </w:t>
      </w:r>
      <w:r w:rsidR="00A61E1A" w:rsidRPr="00A61E1A">
        <w:rPr>
          <w:rFonts w:cstheme="minorHAnsi"/>
          <w:sz w:val="24"/>
          <w:szCs w:val="24"/>
        </w:rPr>
        <w:t xml:space="preserve">are not charging for the following items in their tender </w:t>
      </w:r>
    </w:p>
    <w:p w14:paraId="3CA03BF4" w14:textId="36E5C153" w:rsidR="00B55095" w:rsidRPr="00A61E1A" w:rsidRDefault="00B55095" w:rsidP="00A61E1A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eastAsia="en-AU"/>
        </w:rPr>
      </w:pPr>
      <w:r w:rsidRPr="00A61E1A">
        <w:rPr>
          <w:rFonts w:eastAsia="Times New Roman" w:cstheme="minorHAnsi"/>
          <w:sz w:val="24"/>
          <w:szCs w:val="24"/>
          <w:lang w:eastAsia="en-AU"/>
        </w:rPr>
        <w:t>Blow out before pouring concrete - Deck Slab</w:t>
      </w:r>
    </w:p>
    <w:p w14:paraId="21CDA080" w14:textId="0ABB8B2C" w:rsidR="00B55095" w:rsidRPr="00A61E1A" w:rsidRDefault="00B55095" w:rsidP="00B5509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A61E1A">
        <w:rPr>
          <w:rFonts w:eastAsia="Times New Roman" w:cstheme="minorHAnsi"/>
          <w:sz w:val="24"/>
          <w:szCs w:val="24"/>
          <w:lang w:eastAsia="en-AU"/>
        </w:rPr>
        <w:t>Finish &amp; Cure Deck Slab</w:t>
      </w:r>
    </w:p>
    <w:p w14:paraId="57D6D10D" w14:textId="4ABCBB5C" w:rsidR="00A61E1A" w:rsidRPr="00A61E1A" w:rsidRDefault="00A61E1A" w:rsidP="00A61E1A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456CA452" w14:textId="28FB33DC" w:rsidR="00A61E1A" w:rsidRPr="00A61E1A" w:rsidRDefault="00A61E1A" w:rsidP="00A61E1A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A61E1A">
        <w:rPr>
          <w:rFonts w:eastAsia="Times New Roman" w:cstheme="minorHAnsi"/>
          <w:sz w:val="24"/>
          <w:szCs w:val="24"/>
          <w:lang w:eastAsia="en-AU"/>
        </w:rPr>
        <w:t>They are excluding the following item</w:t>
      </w:r>
    </w:p>
    <w:p w14:paraId="48013BB0" w14:textId="77777777" w:rsidR="00A61E1A" w:rsidRPr="00A61E1A" w:rsidRDefault="00A61E1A" w:rsidP="00A61E1A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C45E399" w14:textId="79C7719F" w:rsidR="00A61E1A" w:rsidRPr="00A61E1A" w:rsidRDefault="00A61E1A" w:rsidP="00A61E1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61E1A">
        <w:rPr>
          <w:rFonts w:eastAsia="Times New Roman" w:cstheme="minorHAnsi"/>
          <w:sz w:val="24"/>
          <w:szCs w:val="24"/>
          <w:lang w:eastAsia="en-AU"/>
        </w:rPr>
        <w:t xml:space="preserve">Deck slab - Allow Bracket &amp; Walkway along both sides of bridge </w:t>
      </w:r>
    </w:p>
    <w:p w14:paraId="735EDA4B" w14:textId="086C1FAD" w:rsidR="00A61E1A" w:rsidRPr="00A61E1A" w:rsidRDefault="00A61E1A" w:rsidP="00A61E1A">
      <w:pPr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</w:p>
    <w:p w14:paraId="69ADC9CE" w14:textId="38911ECD" w:rsidR="00EE5802" w:rsidRPr="00EE5802" w:rsidRDefault="00A61E1A" w:rsidP="00EE5802">
      <w:pPr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A61E1A">
        <w:rPr>
          <w:rFonts w:eastAsia="Times New Roman" w:cstheme="minorHAnsi"/>
          <w:sz w:val="24"/>
          <w:szCs w:val="24"/>
          <w:lang w:eastAsia="en-AU"/>
        </w:rPr>
        <w:t>The total cost for Robemen’s tender comes down to</w:t>
      </w:r>
      <w:r w:rsidRPr="00A61E1A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  </w:t>
      </w:r>
      <w:r w:rsidR="006649CD">
        <w:rPr>
          <w:rFonts w:eastAsia="Times New Roman" w:cstheme="minorHAnsi"/>
          <w:b/>
          <w:bCs/>
          <w:sz w:val="24"/>
          <w:szCs w:val="24"/>
          <w:lang w:eastAsia="en-AU"/>
        </w:rPr>
        <w:t>$</w:t>
      </w:r>
      <w:r w:rsidRPr="00A61E1A">
        <w:rPr>
          <w:rFonts w:eastAsia="Times New Roman" w:cstheme="minorHAnsi"/>
          <w:b/>
          <w:bCs/>
          <w:sz w:val="24"/>
          <w:szCs w:val="24"/>
          <w:lang w:eastAsia="en-AU"/>
        </w:rPr>
        <w:t xml:space="preserve">3,473,950.29 </w:t>
      </w:r>
      <w:r w:rsidRPr="00A61E1A">
        <w:rPr>
          <w:rFonts w:eastAsia="Times New Roman" w:cstheme="minorHAnsi"/>
          <w:sz w:val="24"/>
          <w:szCs w:val="24"/>
          <w:lang w:eastAsia="en-AU"/>
        </w:rPr>
        <w:t>and if we add the exclusion at an average price of</w:t>
      </w:r>
      <w:r w:rsidRPr="00A61E1A">
        <w:rPr>
          <w:rFonts w:eastAsia="Times New Roman" w:cstheme="minorHAnsi"/>
          <w:b/>
          <w:bCs/>
          <w:sz w:val="24"/>
          <w:szCs w:val="24"/>
          <w:lang w:eastAsia="en-AU"/>
        </w:rPr>
        <w:t xml:space="preserve"> </w:t>
      </w:r>
      <w:r w:rsidRPr="00A61E1A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$398,654.98</w:t>
      </w:r>
      <w:r w:rsidRPr="00A61E1A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the total will be </w:t>
      </w:r>
      <w:r w:rsidR="006649CD" w:rsidRPr="006649CD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$</w:t>
      </w:r>
      <w:r w:rsidRPr="00A61E1A">
        <w:rPr>
          <w:rFonts w:eastAsia="Times New Roman" w:cstheme="minorHAnsi"/>
          <w:b/>
          <w:bCs/>
          <w:color w:val="000000"/>
          <w:sz w:val="24"/>
          <w:szCs w:val="24"/>
          <w:lang w:eastAsia="en-AU"/>
        </w:rPr>
        <w:t>3,872,605.27</w:t>
      </w:r>
      <w:r w:rsidRPr="00A61E1A">
        <w:rPr>
          <w:rFonts w:eastAsia="Times New Roman" w:cstheme="minorHAnsi"/>
          <w:color w:val="000000"/>
          <w:sz w:val="24"/>
          <w:szCs w:val="24"/>
          <w:lang w:eastAsia="en-AU"/>
        </w:rPr>
        <w:t>. This comes down to be the cheapest price. Robemen have not missed out on any scope of works and they have priced the original procurement quantities</w:t>
      </w:r>
      <w:r w:rsidR="00D461C0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with reasonable rates</w:t>
      </w:r>
      <w:r w:rsidRPr="00A61E1A">
        <w:rPr>
          <w:rFonts w:eastAsia="Times New Roman" w:cstheme="minorHAnsi"/>
          <w:color w:val="000000"/>
          <w:sz w:val="24"/>
          <w:szCs w:val="24"/>
          <w:lang w:eastAsia="en-AU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 Lamlian have overpriced a fair amount of the scope and so has Cordem</w:t>
      </w:r>
      <w:r w:rsidR="006649CD">
        <w:rPr>
          <w:rFonts w:eastAsia="Times New Roman" w:cstheme="minorHAnsi"/>
          <w:color w:val="000000"/>
          <w:sz w:val="24"/>
          <w:szCs w:val="24"/>
          <w:lang w:eastAsia="en-AU"/>
        </w:rPr>
        <w:t xml:space="preserve">, both of their totals can be seen in </w:t>
      </w:r>
      <w:r w:rsidR="006649CD">
        <w:rPr>
          <w:rFonts w:eastAsia="Times New Roman" w:cstheme="minorHAnsi"/>
          <w:color w:val="000000"/>
          <w:sz w:val="24"/>
          <w:szCs w:val="24"/>
          <w:lang w:eastAsia="en-AU"/>
        </w:rPr>
        <w:lastRenderedPageBreak/>
        <w:t>the subcontractor comparison spreadsheet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>.</w:t>
      </w:r>
      <w:r w:rsidR="006649CD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Densol have the above listed issues with their tender, therefore it does not represent best selection.</w:t>
      </w:r>
      <w:r w:rsidR="00EE5802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</w:t>
      </w:r>
    </w:p>
    <w:p w14:paraId="18BA521D" w14:textId="710CED14" w:rsidR="00250C0C" w:rsidRPr="00E2208B" w:rsidRDefault="00250C0C" w:rsidP="00A61E1A">
      <w:pPr>
        <w:rPr>
          <w:rFonts w:eastAsia="Times New Roman" w:cstheme="minorHAnsi"/>
          <w:sz w:val="24"/>
          <w:szCs w:val="24"/>
          <w:lang w:eastAsia="en-AU"/>
        </w:rPr>
      </w:pPr>
      <w:r w:rsidRPr="00E2208B">
        <w:rPr>
          <w:rFonts w:eastAsia="Times New Roman" w:cstheme="minorHAnsi"/>
          <w:color w:val="000000"/>
          <w:sz w:val="24"/>
          <w:szCs w:val="24"/>
          <w:lang w:eastAsia="en-AU"/>
        </w:rPr>
        <w:t xml:space="preserve">You can review the </w:t>
      </w:r>
      <w:r w:rsidR="00480EB7" w:rsidRPr="00E2208B">
        <w:rPr>
          <w:rFonts w:eastAsia="Times New Roman" w:cstheme="minorHAnsi"/>
          <w:color w:val="000000"/>
          <w:sz w:val="24"/>
          <w:szCs w:val="24"/>
          <w:lang w:eastAsia="en-AU"/>
        </w:rPr>
        <w:t>completed comparison sheet provided to further examine each subcontractor tender.</w:t>
      </w:r>
      <w:bookmarkStart w:id="0" w:name="_GoBack"/>
      <w:bookmarkEnd w:id="0"/>
    </w:p>
    <w:p w14:paraId="16BEB842" w14:textId="75543C44" w:rsidR="0031554F" w:rsidRPr="0031554F" w:rsidRDefault="0031554F" w:rsidP="0031554F">
      <w:pPr>
        <w:pStyle w:val="ListParagraph"/>
        <w:rPr>
          <w:color w:val="333333"/>
          <w:sz w:val="24"/>
          <w:szCs w:val="24"/>
        </w:rPr>
      </w:pPr>
    </w:p>
    <w:p w14:paraId="3FAFCE3E" w14:textId="77777777" w:rsidR="0031554F" w:rsidRPr="0031554F" w:rsidRDefault="0031554F" w:rsidP="0031554F">
      <w:pPr>
        <w:rPr>
          <w:color w:val="333333"/>
          <w:sz w:val="24"/>
          <w:szCs w:val="24"/>
        </w:rPr>
      </w:pPr>
    </w:p>
    <w:p w14:paraId="0F8C6374" w14:textId="3A841FBD" w:rsidR="0031554F" w:rsidRPr="0031554F" w:rsidRDefault="0031554F" w:rsidP="004B5BF3">
      <w:pPr>
        <w:rPr>
          <w:sz w:val="32"/>
          <w:szCs w:val="32"/>
        </w:rPr>
      </w:pPr>
    </w:p>
    <w:p w14:paraId="7773D845" w14:textId="5520A029" w:rsidR="0031554F" w:rsidRPr="0031554F" w:rsidRDefault="0031554F" w:rsidP="004B5BF3">
      <w:pPr>
        <w:rPr>
          <w:b/>
          <w:bCs/>
          <w:sz w:val="32"/>
          <w:szCs w:val="32"/>
        </w:rPr>
      </w:pPr>
    </w:p>
    <w:sectPr w:rsidR="0031554F" w:rsidRPr="003155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EB84" w14:textId="77777777" w:rsidR="00C9762D" w:rsidRDefault="00C9762D" w:rsidP="00F23367">
      <w:pPr>
        <w:spacing w:after="0" w:line="240" w:lineRule="auto"/>
      </w:pPr>
      <w:r>
        <w:separator/>
      </w:r>
    </w:p>
  </w:endnote>
  <w:endnote w:type="continuationSeparator" w:id="0">
    <w:p w14:paraId="298343A1" w14:textId="77777777" w:rsidR="00C9762D" w:rsidRDefault="00C9762D" w:rsidP="00F2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883A" w14:textId="77777777" w:rsidR="00C9762D" w:rsidRDefault="00C9762D" w:rsidP="00F23367">
      <w:pPr>
        <w:spacing w:after="0" w:line="240" w:lineRule="auto"/>
      </w:pPr>
      <w:r>
        <w:separator/>
      </w:r>
    </w:p>
  </w:footnote>
  <w:footnote w:type="continuationSeparator" w:id="0">
    <w:p w14:paraId="2F460BEF" w14:textId="77777777" w:rsidR="00C9762D" w:rsidRDefault="00C9762D" w:rsidP="00F23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282C5" w14:textId="08E2611B" w:rsidR="00F23367" w:rsidRDefault="00F23367">
    <w:pPr>
      <w:pStyle w:val="Header"/>
    </w:pPr>
    <w:r w:rsidRPr="00E51CCE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7E58D61" wp14:editId="58D2AF1F">
          <wp:simplePos x="0" y="0"/>
          <wp:positionH relativeFrom="margin">
            <wp:posOffset>4073883</wp:posOffset>
          </wp:positionH>
          <wp:positionV relativeFrom="topMargin">
            <wp:posOffset>89622</wp:posOffset>
          </wp:positionV>
          <wp:extent cx="2448560" cy="1234440"/>
          <wp:effectExtent l="0" t="0" r="8890" b="3810"/>
          <wp:wrapSquare wrapText="bothSides"/>
          <wp:docPr id="2" name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560" cy="123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566"/>
    <w:multiLevelType w:val="hybridMultilevel"/>
    <w:tmpl w:val="5A000A46"/>
    <w:lvl w:ilvl="0" w:tplc="7E96A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A2A"/>
    <w:multiLevelType w:val="hybridMultilevel"/>
    <w:tmpl w:val="B2FA9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3931"/>
    <w:multiLevelType w:val="hybridMultilevel"/>
    <w:tmpl w:val="B2FA9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15"/>
    <w:rsid w:val="000266D6"/>
    <w:rsid w:val="00250C0C"/>
    <w:rsid w:val="0025716D"/>
    <w:rsid w:val="00311283"/>
    <w:rsid w:val="0031554F"/>
    <w:rsid w:val="00480EB7"/>
    <w:rsid w:val="004B5BF3"/>
    <w:rsid w:val="005276C3"/>
    <w:rsid w:val="005C6615"/>
    <w:rsid w:val="0062688F"/>
    <w:rsid w:val="006649CD"/>
    <w:rsid w:val="007A5C98"/>
    <w:rsid w:val="00911D66"/>
    <w:rsid w:val="00985FBF"/>
    <w:rsid w:val="00A2571E"/>
    <w:rsid w:val="00A41088"/>
    <w:rsid w:val="00A61E1A"/>
    <w:rsid w:val="00B07F3C"/>
    <w:rsid w:val="00B55095"/>
    <w:rsid w:val="00BD0ADB"/>
    <w:rsid w:val="00C107E0"/>
    <w:rsid w:val="00C150C3"/>
    <w:rsid w:val="00C9762D"/>
    <w:rsid w:val="00D461C0"/>
    <w:rsid w:val="00D55A0F"/>
    <w:rsid w:val="00DF3287"/>
    <w:rsid w:val="00E2208B"/>
    <w:rsid w:val="00EC67D3"/>
    <w:rsid w:val="00EE5802"/>
    <w:rsid w:val="00F23367"/>
    <w:rsid w:val="00F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694F"/>
  <w15:chartTrackingRefBased/>
  <w15:docId w15:val="{7B7FD7E5-9460-4A19-8299-8D0274C3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7"/>
  </w:style>
  <w:style w:type="paragraph" w:styleId="Footer">
    <w:name w:val="footer"/>
    <w:basedOn w:val="Normal"/>
    <w:link w:val="FooterChar"/>
    <w:uiPriority w:val="99"/>
    <w:unhideWhenUsed/>
    <w:rsid w:val="00F2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Saleem</dc:creator>
  <cp:keywords/>
  <dc:description/>
  <cp:lastModifiedBy>Danial Saleem</cp:lastModifiedBy>
  <cp:revision>6</cp:revision>
  <dcterms:created xsi:type="dcterms:W3CDTF">2019-08-20T00:48:00Z</dcterms:created>
  <dcterms:modified xsi:type="dcterms:W3CDTF">2019-08-20T02:09:00Z</dcterms:modified>
</cp:coreProperties>
</file>