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78E30">
      <w:pPr>
        <w:jc w:val="center"/>
        <w:rPr>
          <w:rFonts w:hint="default" w:ascii="Times New Roman Regular" w:hAnsi="Times New Roman Regular" w:eastAsia="Times New Roman" w:cs="Times New Roman Regular"/>
          <w:sz w:val="20"/>
          <w:szCs w:val="20"/>
        </w:rPr>
      </w:pPr>
      <w:r>
        <w:rPr>
          <w:rFonts w:hint="default" w:ascii="Times New Roman Regular" w:hAnsi="Times New Roman Regular" w:cs="Times New Roman Regular"/>
          <w:sz w:val="20"/>
          <w:szCs w:val="20"/>
        </w:rPr>
        <w:drawing>
          <wp:inline distT="0" distB="0" distL="0" distR="0">
            <wp:extent cx="1679575" cy="697865"/>
            <wp:effectExtent l="0" t="0" r="22225" b="13335"/>
            <wp:docPr id="11274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7383" name="drawing"/>
                    <pic:cNvPicPr>
                      <a:picLocks noChangeAspect="1"/>
                    </pic:cNvPicPr>
                  </pic:nvPicPr>
                  <pic:blipFill>
                    <a:blip r:embed="rId6"/>
                    <a:stretch>
                      <a:fillRect/>
                    </a:stretch>
                  </pic:blipFill>
                  <pic:spPr>
                    <a:xfrm>
                      <a:off x="0" y="0"/>
                      <a:ext cx="1679575" cy="697865"/>
                    </a:xfrm>
                    <a:prstGeom prst="rect">
                      <a:avLst/>
                    </a:prstGeom>
                  </pic:spPr>
                </pic:pic>
              </a:graphicData>
            </a:graphic>
          </wp:inline>
        </w:drawing>
      </w:r>
    </w:p>
    <w:p w14:paraId="1AA04FFB">
      <w:pPr>
        <w:spacing w:before="240" w:after="240"/>
        <w:rPr>
          <w:rFonts w:hint="default" w:ascii="Times New Roman Regular" w:hAnsi="Times New Roman Regular" w:eastAsia="Times New Roman" w:cs="Times New Roman Regular"/>
          <w:i/>
          <w:iCs/>
          <w:sz w:val="20"/>
          <w:szCs w:val="20"/>
          <w:lang w:val="en-US"/>
        </w:rPr>
      </w:pPr>
      <w:r>
        <w:rPr>
          <w:rFonts w:hint="default" w:ascii="Times New Roman Regular" w:hAnsi="Times New Roman Regular" w:eastAsia="Times New Roman" w:cs="Times New Roman Regular"/>
          <w:b/>
          <w:bCs/>
          <w:sz w:val="20"/>
          <w:szCs w:val="20"/>
        </w:rPr>
        <w:t>Program and Branch Name:</w:t>
      </w:r>
      <w:r>
        <w:rPr>
          <w:rFonts w:hint="default" w:ascii="Times New Roman Regular" w:hAnsi="Times New Roman Regular" w:eastAsia="Times New Roman" w:cs="Times New Roman Regular"/>
          <w:b/>
          <w:bCs/>
          <w:sz w:val="20"/>
          <w:szCs w:val="20"/>
          <w:lang w:val="en-US"/>
        </w:rPr>
        <w:t xml:space="preserve">        </w:t>
      </w:r>
      <w:r>
        <w:rPr>
          <w:rFonts w:hint="default" w:ascii="Times New Roman Regular" w:hAnsi="Times New Roman Regular" w:eastAsia="Times New Roman" w:cs="Times New Roman Regular"/>
          <w:i/>
          <w:iCs/>
          <w:sz w:val="20"/>
          <w:szCs w:val="20"/>
        </w:rPr>
        <w:t>B</w:t>
      </w:r>
      <w:r>
        <w:rPr>
          <w:rFonts w:hint="default" w:ascii="Times New Roman Regular" w:hAnsi="Times New Roman Regular" w:eastAsia="Times New Roman" w:cs="Times New Roman Regular"/>
          <w:i/>
          <w:iCs/>
          <w:sz w:val="20"/>
          <w:szCs w:val="20"/>
          <w:lang w:val="en-US"/>
        </w:rPr>
        <w:t>.</w:t>
      </w:r>
      <w:r>
        <w:rPr>
          <w:rFonts w:hint="default" w:ascii="Times New Roman Regular" w:hAnsi="Times New Roman Regular" w:eastAsia="Times New Roman" w:cs="Times New Roman Regular"/>
          <w:i/>
          <w:iCs/>
          <w:sz w:val="20"/>
          <w:szCs w:val="20"/>
        </w:rPr>
        <w:t xml:space="preserve">Tech </w:t>
      </w:r>
      <w:r>
        <w:rPr>
          <w:rFonts w:hint="default" w:ascii="Times New Roman Regular" w:hAnsi="Times New Roman Regular" w:eastAsia="Times New Roman" w:cs="Times New Roman Regular"/>
          <w:i/>
          <w:iCs/>
          <w:sz w:val="20"/>
          <w:szCs w:val="20"/>
          <w:lang w:val="en-US"/>
        </w:rPr>
        <w:t xml:space="preserve">  in  CSE TWIN (3</w:t>
      </w:r>
      <w:r>
        <w:rPr>
          <w:rFonts w:hint="default" w:ascii="Times New Roman Regular" w:hAnsi="Times New Roman Regular" w:eastAsia="Times New Roman" w:cs="Times New Roman Regular"/>
          <w:i/>
          <w:iCs/>
          <w:sz w:val="20"/>
          <w:szCs w:val="20"/>
          <w:vertAlign w:val="superscript"/>
          <w:lang w:val="en-US"/>
        </w:rPr>
        <w:t>RD</w:t>
      </w:r>
      <w:r>
        <w:rPr>
          <w:rFonts w:hint="default" w:ascii="Times New Roman Regular" w:hAnsi="Times New Roman Regular" w:eastAsia="Times New Roman" w:cs="Times New Roman Regular"/>
          <w:i/>
          <w:iCs/>
          <w:sz w:val="20"/>
          <w:szCs w:val="20"/>
          <w:lang w:val="en-US"/>
        </w:rPr>
        <w:t xml:space="preserve"> SEMESTER)</w:t>
      </w:r>
    </w:p>
    <w:p w14:paraId="12B4556B">
      <w:pPr>
        <w:spacing w:before="240" w:after="240"/>
        <w:jc w:val="center"/>
        <w:rPr>
          <w:rFonts w:hint="default" w:ascii="Times New Roman Regular" w:hAnsi="Times New Roman Regular" w:eastAsia="Times New Roman" w:cs="Times New Roman Regular"/>
          <w:b/>
          <w:bCs/>
          <w:sz w:val="20"/>
          <w:szCs w:val="20"/>
        </w:rPr>
      </w:pPr>
      <w:r>
        <w:rPr>
          <w:rFonts w:hint="default" w:ascii="Times New Roman Regular" w:hAnsi="Times New Roman Regular" w:eastAsia="Times New Roman" w:cs="Times New Roman Regular"/>
          <w:b/>
          <w:bCs/>
          <w:sz w:val="20"/>
          <w:szCs w:val="20"/>
        </w:rPr>
        <w:t>PBL Progress Report – I</w:t>
      </w:r>
    </w:p>
    <w:tbl>
      <w:tblPr>
        <w:tblStyle w:val="5"/>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4259"/>
        <w:gridCol w:w="5317"/>
      </w:tblGrid>
      <w:tr w14:paraId="0F02DBD3">
        <w:trPr>
          <w:trHeight w:val="300" w:hRule="atLeast"/>
        </w:trPr>
        <w:tc>
          <w:tcPr>
            <w:tcW w:w="4259" w:type="dxa"/>
            <w:vAlign w:val="center"/>
          </w:tcPr>
          <w:p w14:paraId="2D850A99">
            <w:pPr>
              <w:spacing w:after="0"/>
              <w:jc w:val="center"/>
              <w:rPr>
                <w:rFonts w:hint="default" w:ascii="Times New Roman Regular" w:hAnsi="Times New Roman Regular" w:eastAsia="Times New Roman" w:cs="Times New Roman Regular"/>
                <w:b/>
                <w:bCs/>
                <w:sz w:val="20"/>
                <w:szCs w:val="20"/>
              </w:rPr>
            </w:pPr>
            <w:r>
              <w:rPr>
                <w:rFonts w:hint="default" w:ascii="Times New Roman Regular" w:hAnsi="Times New Roman Regular" w:eastAsia="Times New Roman" w:cs="Times New Roman Regular"/>
                <w:b/>
                <w:bCs/>
                <w:sz w:val="20"/>
                <w:szCs w:val="20"/>
              </w:rPr>
              <w:t>Field</w:t>
            </w:r>
          </w:p>
        </w:tc>
        <w:tc>
          <w:tcPr>
            <w:tcW w:w="5317" w:type="dxa"/>
            <w:vAlign w:val="center"/>
          </w:tcPr>
          <w:p w14:paraId="7047E117">
            <w:pPr>
              <w:spacing w:after="0"/>
              <w:jc w:val="center"/>
              <w:rPr>
                <w:rFonts w:hint="default" w:ascii="Times New Roman Regular" w:hAnsi="Times New Roman Regular" w:eastAsia="Times New Roman" w:cs="Times New Roman Regular"/>
                <w:b/>
                <w:bCs/>
                <w:sz w:val="20"/>
                <w:szCs w:val="20"/>
              </w:rPr>
            </w:pPr>
            <w:r>
              <w:rPr>
                <w:rFonts w:hint="default" w:ascii="Times New Roman Regular" w:hAnsi="Times New Roman Regular" w:eastAsia="Times New Roman" w:cs="Times New Roman Regular"/>
                <w:b/>
                <w:bCs/>
                <w:sz w:val="20"/>
                <w:szCs w:val="20"/>
              </w:rPr>
              <w:t>Details</w:t>
            </w:r>
          </w:p>
        </w:tc>
      </w:tr>
      <w:tr w14:paraId="5FD9DAC3">
        <w:trPr>
          <w:trHeight w:val="300" w:hRule="atLeast"/>
        </w:trPr>
        <w:tc>
          <w:tcPr>
            <w:tcW w:w="4259" w:type="dxa"/>
            <w:vAlign w:val="center"/>
          </w:tcPr>
          <w:p w14:paraId="61840A9D">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Course Name</w:t>
            </w:r>
          </w:p>
        </w:tc>
        <w:tc>
          <w:tcPr>
            <w:tcW w:w="5317" w:type="dxa"/>
            <w:vAlign w:val="center"/>
          </w:tcPr>
          <w:p w14:paraId="4AB39C6E">
            <w:pPr>
              <w:pStyle w:val="10"/>
              <w:keepNext w:val="0"/>
              <w:keepLines w:val="0"/>
              <w:widowControl/>
              <w:suppressLineNumbers w:val="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14:textFill>
                  <w14:solidFill>
                    <w14:schemeClr w14:val="tx1"/>
                  </w14:solidFill>
                </w14:textFill>
              </w:rPr>
              <w:t>Computer Architecture &amp; Parallel Processing</w:t>
            </w:r>
          </w:p>
        </w:tc>
      </w:tr>
      <w:tr w14:paraId="283DE7CC">
        <w:trPr>
          <w:trHeight w:val="300" w:hRule="atLeast"/>
        </w:trPr>
        <w:tc>
          <w:tcPr>
            <w:tcW w:w="4259" w:type="dxa"/>
            <w:vAlign w:val="center"/>
          </w:tcPr>
          <w:p w14:paraId="4FB50F88">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Course Code</w:t>
            </w:r>
          </w:p>
        </w:tc>
        <w:tc>
          <w:tcPr>
            <w:tcW w:w="5317" w:type="dxa"/>
            <w:vAlign w:val="center"/>
          </w:tcPr>
          <w:p w14:paraId="2ADF855B">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CCSE 0304</w:t>
            </w:r>
          </w:p>
        </w:tc>
      </w:tr>
      <w:tr w14:paraId="272BE596">
        <w:trPr>
          <w:trHeight w:val="300" w:hRule="atLeast"/>
        </w:trPr>
        <w:tc>
          <w:tcPr>
            <w:tcW w:w="4259" w:type="dxa"/>
            <w:vAlign w:val="center"/>
          </w:tcPr>
          <w:p w14:paraId="7C65667F">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Faculty Name</w:t>
            </w:r>
          </w:p>
        </w:tc>
        <w:tc>
          <w:tcPr>
            <w:tcW w:w="5317" w:type="dxa"/>
            <w:vAlign w:val="center"/>
          </w:tcPr>
          <w:p w14:paraId="131B5750">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Dr. Nitu Rao</w:t>
            </w:r>
            <w:bookmarkStart w:id="0" w:name="_GoBack"/>
            <w:bookmarkEnd w:id="0"/>
          </w:p>
        </w:tc>
      </w:tr>
      <w:tr w14:paraId="690912DB">
        <w:trPr>
          <w:trHeight w:val="300" w:hRule="atLeast"/>
        </w:trPr>
        <w:tc>
          <w:tcPr>
            <w:tcW w:w="4259" w:type="dxa"/>
            <w:vAlign w:val="center"/>
          </w:tcPr>
          <w:p w14:paraId="5A477CFC">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Assignment Type</w:t>
            </w:r>
          </w:p>
        </w:tc>
        <w:tc>
          <w:tcPr>
            <w:tcW w:w="5317" w:type="dxa"/>
            <w:vAlign w:val="center"/>
          </w:tcPr>
          <w:p w14:paraId="16567DFB">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Group Assignment</w:t>
            </w:r>
          </w:p>
        </w:tc>
      </w:tr>
      <w:tr w14:paraId="6CCACAC3">
        <w:trPr>
          <w:trHeight w:val="300" w:hRule="atLeast"/>
        </w:trPr>
        <w:tc>
          <w:tcPr>
            <w:tcW w:w="4259" w:type="dxa"/>
            <w:vAlign w:val="center"/>
          </w:tcPr>
          <w:p w14:paraId="28E66C46">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Student(s) Name</w:t>
            </w:r>
          </w:p>
        </w:tc>
        <w:tc>
          <w:tcPr>
            <w:tcW w:w="5317" w:type="dxa"/>
            <w:vAlign w:val="center"/>
          </w:tcPr>
          <w:p w14:paraId="039834BF">
            <w:pPr>
              <w:pStyle w:val="6"/>
              <w:keepNext w:val="0"/>
              <w:keepLines w:val="0"/>
              <w:widowControl/>
              <w:numPr>
                <w:ilvl w:val="0"/>
                <w:numId w:val="1"/>
              </w:numPr>
              <w:suppressLineNumbers w:val="0"/>
              <w:spacing w:before="0" w:beforeAutospacing="0" w:after="0" w:afterAutospacing="0"/>
              <w:ind w:left="425" w:leftChars="0" w:right="0" w:hanging="425" w:firstLineChars="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Akshya Gupta</w:t>
            </w:r>
          </w:p>
          <w:p w14:paraId="71D32188">
            <w:pPr>
              <w:pStyle w:val="6"/>
              <w:keepNext w:val="0"/>
              <w:keepLines w:val="0"/>
              <w:widowControl/>
              <w:numPr>
                <w:ilvl w:val="0"/>
                <w:numId w:val="1"/>
              </w:numPr>
              <w:suppressLineNumbers w:val="0"/>
              <w:spacing w:before="0" w:beforeAutospacing="0" w:after="0" w:afterAutospacing="0"/>
              <w:ind w:left="425" w:leftChars="0" w:right="0" w:hanging="425" w:firstLineChars="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Anshika Verma</w:t>
            </w:r>
          </w:p>
          <w:p w14:paraId="3140804C">
            <w:pPr>
              <w:pStyle w:val="6"/>
              <w:keepNext w:val="0"/>
              <w:keepLines w:val="0"/>
              <w:widowControl/>
              <w:numPr>
                <w:ilvl w:val="0"/>
                <w:numId w:val="1"/>
              </w:numPr>
              <w:suppressLineNumbers w:val="0"/>
              <w:spacing w:before="0" w:beforeAutospacing="0" w:after="0" w:afterAutospacing="0"/>
              <w:ind w:left="425" w:leftChars="0" w:right="0" w:hanging="425" w:firstLineChars="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Priyanshu Rai</w:t>
            </w:r>
          </w:p>
          <w:p w14:paraId="1A4BB50B">
            <w:pPr>
              <w:pStyle w:val="6"/>
              <w:keepNext w:val="0"/>
              <w:keepLines w:val="0"/>
              <w:widowControl/>
              <w:numPr>
                <w:ilvl w:val="0"/>
                <w:numId w:val="1"/>
              </w:numPr>
              <w:suppressLineNumbers w:val="0"/>
              <w:spacing w:before="0" w:beforeAutospacing="0" w:after="0" w:afterAutospacing="0"/>
              <w:ind w:left="425" w:leftChars="0" w:right="0" w:hanging="425" w:firstLineChars="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Kajal Tiwari</w:t>
            </w:r>
          </w:p>
        </w:tc>
      </w:tr>
      <w:tr w14:paraId="3085B8BB">
        <w:trPr>
          <w:trHeight w:val="300" w:hRule="atLeast"/>
        </w:trPr>
        <w:tc>
          <w:tcPr>
            <w:tcW w:w="4259" w:type="dxa"/>
            <w:vAlign w:val="center"/>
          </w:tcPr>
          <w:p w14:paraId="103307DE">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ERP ID (I Year) / Roll No. (II Year onwards)</w:t>
            </w:r>
          </w:p>
        </w:tc>
        <w:tc>
          <w:tcPr>
            <w:tcW w:w="5317" w:type="dxa"/>
            <w:vAlign w:val="center"/>
          </w:tcPr>
          <w:p w14:paraId="216F0BFE">
            <w:pPr>
              <w:pStyle w:val="6"/>
              <w:keepNext w:val="0"/>
              <w:keepLines w:val="0"/>
              <w:widowControl/>
              <w:numPr>
                <w:ilvl w:val="0"/>
                <w:numId w:val="2"/>
              </w:numPr>
              <w:suppressLineNumbers w:val="0"/>
              <w:tabs>
                <w:tab w:val="clear" w:pos="425"/>
              </w:tabs>
              <w:spacing w:before="0" w:beforeAutospacing="0" w:after="0" w:afterAutospacing="0"/>
              <w:ind w:left="425" w:leftChars="0" w:right="0" w:rightChars="0" w:hanging="425" w:firstLineChars="0"/>
              <w:jc w:val="left"/>
              <w:rPr>
                <w:rFonts w:hint="default" w:ascii="Times New Roman Regular" w:hAnsi="Times New Roman Regular" w:cs="Times New Roman Regular"/>
                <w:color w:val="000000" w:themeColor="text1"/>
                <w:sz w:val="20"/>
                <w:szCs w:val="20"/>
                <w:lang w:val="en-US"/>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2501331930010</w:t>
            </w:r>
          </w:p>
          <w:p w14:paraId="3E85BC97">
            <w:pPr>
              <w:pStyle w:val="6"/>
              <w:keepNext w:val="0"/>
              <w:keepLines w:val="0"/>
              <w:widowControl/>
              <w:numPr>
                <w:ilvl w:val="0"/>
                <w:numId w:val="2"/>
              </w:numPr>
              <w:suppressLineNumbers w:val="0"/>
              <w:tabs>
                <w:tab w:val="clear" w:pos="425"/>
              </w:tabs>
              <w:spacing w:before="0" w:beforeAutospacing="0" w:after="0" w:afterAutospacing="0"/>
              <w:ind w:left="425" w:leftChars="0" w:right="0" w:rightChars="0" w:hanging="425" w:firstLineChars="0"/>
              <w:jc w:val="left"/>
              <w:rPr>
                <w:rFonts w:hint="default" w:ascii="Times New Roman Regular" w:hAnsi="Times New Roman Regular" w:cs="Times New Roman Regular"/>
                <w:color w:val="000000" w:themeColor="text1"/>
                <w:sz w:val="20"/>
                <w:szCs w:val="20"/>
                <w:lang w:val="en-US"/>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25013319300</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14</w:t>
            </w:r>
          </w:p>
          <w:p w14:paraId="38A5A78A">
            <w:pPr>
              <w:pStyle w:val="6"/>
              <w:keepNext w:val="0"/>
              <w:keepLines w:val="0"/>
              <w:widowControl/>
              <w:numPr>
                <w:ilvl w:val="0"/>
                <w:numId w:val="2"/>
              </w:numPr>
              <w:suppressLineNumbers w:val="0"/>
              <w:tabs>
                <w:tab w:val="clear" w:pos="425"/>
              </w:tabs>
              <w:spacing w:before="0" w:beforeAutospacing="0" w:after="0" w:afterAutospacing="0"/>
              <w:ind w:left="425" w:leftChars="0" w:right="0" w:rightChars="0" w:hanging="425" w:firstLineChars="0"/>
              <w:jc w:val="left"/>
              <w:rPr>
                <w:rFonts w:hint="default" w:ascii="Times New Roman Regular" w:hAnsi="Times New Roman Regular" w:cs="Times New Roman Regular"/>
                <w:color w:val="000000" w:themeColor="text1"/>
                <w:sz w:val="20"/>
                <w:szCs w:val="20"/>
                <w:lang w:val="en-US"/>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2501331930030</w:t>
            </w:r>
          </w:p>
          <w:p w14:paraId="0131B304">
            <w:pPr>
              <w:pStyle w:val="6"/>
              <w:keepNext w:val="0"/>
              <w:keepLines w:val="0"/>
              <w:widowControl/>
              <w:numPr>
                <w:ilvl w:val="0"/>
                <w:numId w:val="2"/>
              </w:numPr>
              <w:suppressLineNumbers w:val="0"/>
              <w:tabs>
                <w:tab w:val="clear" w:pos="425"/>
              </w:tabs>
              <w:spacing w:before="0" w:beforeAutospacing="0" w:after="0" w:afterAutospacing="0"/>
              <w:ind w:left="425" w:leftChars="0" w:right="0" w:rightChars="0" w:hanging="425" w:firstLineChars="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25013319300</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38      ALL 2</w:t>
            </w:r>
            <w:r>
              <w:rPr>
                <w:rFonts w:hint="default" w:ascii="Times New Roman Regular" w:hAnsi="Times New Roman Regular" w:eastAsia="helvetica" w:cs="Times New Roman Regular"/>
                <w:color w:val="000000" w:themeColor="text1"/>
                <w:kern w:val="0"/>
                <w:sz w:val="20"/>
                <w:szCs w:val="20"/>
                <w:vertAlign w:val="superscript"/>
                <w:lang w:val="en-US" w:eastAsia="zh-CN" w:bidi="ar"/>
                <w14:textFill>
                  <w14:solidFill>
                    <w14:schemeClr w14:val="tx1"/>
                  </w14:solidFill>
                </w14:textFill>
              </w:rPr>
              <w:t>ND</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YEAR </w:t>
            </w:r>
          </w:p>
        </w:tc>
      </w:tr>
      <w:tr w14:paraId="65F5DCB2">
        <w:trPr>
          <w:trHeight w:val="300" w:hRule="atLeast"/>
        </w:trPr>
        <w:tc>
          <w:tcPr>
            <w:tcW w:w="4259" w:type="dxa"/>
            <w:vAlign w:val="center"/>
          </w:tcPr>
          <w:p w14:paraId="19FCB49B">
            <w:pPr>
              <w:spacing w:after="0"/>
              <w:rPr>
                <w:rFonts w:hint="default" w:ascii="Times New Roman Regular" w:hAnsi="Times New Roman Regular" w:eastAsia="Times New Roman" w:cs="Times New Roman Regular"/>
                <w:i/>
                <w:iCs/>
                <w:sz w:val="20"/>
                <w:szCs w:val="20"/>
              </w:rPr>
            </w:pPr>
            <w:r>
              <w:rPr>
                <w:rFonts w:hint="default" w:ascii="Times New Roman Regular" w:hAnsi="Times New Roman Regular" w:eastAsia="Times New Roman" w:cs="Times New Roman Regular"/>
                <w:sz w:val="20"/>
                <w:szCs w:val="20"/>
              </w:rPr>
              <w:t xml:space="preserve">Team/Group No. </w:t>
            </w:r>
            <w:r>
              <w:rPr>
                <w:rFonts w:hint="default" w:ascii="Times New Roman Regular" w:hAnsi="Times New Roman Regular" w:eastAsia="Times New Roman" w:cs="Times New Roman Regular"/>
                <w:i/>
                <w:iCs/>
                <w:sz w:val="20"/>
                <w:szCs w:val="20"/>
              </w:rPr>
              <w:t>(Group/Capstone only)</w:t>
            </w:r>
          </w:p>
        </w:tc>
        <w:tc>
          <w:tcPr>
            <w:tcW w:w="5317" w:type="dxa"/>
            <w:vAlign w:val="center"/>
          </w:tcPr>
          <w:p w14:paraId="5128543A">
            <w:pPr>
              <w:rPr>
                <w:rFonts w:hint="default" w:ascii="Times New Roman Regular" w:hAnsi="Times New Roman Regular" w:eastAsia="Times New Roman" w:cs="Times New Roman Regular"/>
                <w:color w:val="000000" w:themeColor="text1"/>
                <w:sz w:val="20"/>
                <w:szCs w:val="20"/>
                <w:lang w:val="en-US"/>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lang w:val="en-US"/>
                <w14:textFill>
                  <w14:solidFill>
                    <w14:schemeClr w14:val="tx1"/>
                  </w14:solidFill>
                </w14:textFill>
              </w:rPr>
              <w:t>GROUP - 02</w:t>
            </w:r>
          </w:p>
        </w:tc>
      </w:tr>
      <w:tr w14:paraId="130A9971">
        <w:trPr>
          <w:trHeight w:val="300" w:hRule="atLeast"/>
        </w:trPr>
        <w:tc>
          <w:tcPr>
            <w:tcW w:w="4259" w:type="dxa"/>
            <w:vAlign w:val="center"/>
          </w:tcPr>
          <w:p w14:paraId="2EEDAA7F">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Problem Statement / Project Title</w:t>
            </w:r>
          </w:p>
        </w:tc>
        <w:tc>
          <w:tcPr>
            <w:tcW w:w="5317" w:type="dxa"/>
            <w:vAlign w:val="center"/>
          </w:tcPr>
          <w:p w14:paraId="0BEF1796">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Topic 84: Integrated Smart City Computing Framework</w:t>
            </w:r>
          </w:p>
        </w:tc>
      </w:tr>
      <w:tr w14:paraId="4616EC22">
        <w:trPr>
          <w:trHeight w:val="300" w:hRule="atLeast"/>
        </w:trPr>
        <w:tc>
          <w:tcPr>
            <w:tcW w:w="4259" w:type="dxa"/>
            <w:vAlign w:val="center"/>
          </w:tcPr>
          <w:p w14:paraId="1CAB3E53">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SDG(s)</w:t>
            </w:r>
          </w:p>
        </w:tc>
        <w:tc>
          <w:tcPr>
            <w:tcW w:w="5317" w:type="dxa"/>
            <w:vAlign w:val="center"/>
          </w:tcPr>
          <w:p w14:paraId="341DDC15">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SDG 11: Sustainable Cities and Communities</w:t>
            </w:r>
          </w:p>
        </w:tc>
      </w:tr>
      <w:tr w14:paraId="6B6FF92F">
        <w:trPr>
          <w:trHeight w:val="300" w:hRule="atLeast"/>
        </w:trPr>
        <w:tc>
          <w:tcPr>
            <w:tcW w:w="4259" w:type="dxa"/>
            <w:vAlign w:val="center"/>
          </w:tcPr>
          <w:p w14:paraId="3FA1F49B">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Reporting Month</w:t>
            </w:r>
          </w:p>
        </w:tc>
        <w:tc>
          <w:tcPr>
            <w:tcW w:w="5317" w:type="dxa"/>
            <w:vAlign w:val="center"/>
          </w:tcPr>
          <w:p w14:paraId="7749961D">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Month 1</w:t>
            </w:r>
          </w:p>
        </w:tc>
      </w:tr>
      <w:tr w14:paraId="363B3C53">
        <w:trPr>
          <w:trHeight w:val="300" w:hRule="atLeast"/>
        </w:trPr>
        <w:tc>
          <w:tcPr>
            <w:tcW w:w="4259" w:type="dxa"/>
            <w:vAlign w:val="center"/>
          </w:tcPr>
          <w:p w14:paraId="42C68174">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Date of Submission</w:t>
            </w:r>
          </w:p>
        </w:tc>
        <w:tc>
          <w:tcPr>
            <w:tcW w:w="5317" w:type="dxa"/>
            <w:vAlign w:val="center"/>
          </w:tcPr>
          <w:p w14:paraId="3A25E1AB">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1</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7</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September 2026</w:t>
            </w:r>
          </w:p>
        </w:tc>
      </w:tr>
    </w:tbl>
    <w:p w14:paraId="5998F85A">
      <w:pPr>
        <w:pStyle w:val="3"/>
        <w:spacing w:before="281" w:after="281"/>
        <w:rPr>
          <w:rFonts w:hint="default" w:ascii="Times New Roman Regular" w:hAnsi="Times New Roman Regular" w:eastAsia="Times New Roman" w:cs="Times New Roman Regular"/>
          <w:b/>
          <w:bCs/>
          <w:color w:val="auto"/>
          <w:sz w:val="20"/>
          <w:szCs w:val="20"/>
        </w:rPr>
      </w:pPr>
      <w:r>
        <w:rPr>
          <w:rFonts w:hint="default" w:ascii="Times New Roman Regular" w:hAnsi="Times New Roman Regular" w:eastAsia="Times New Roman" w:cs="Times New Roman Regular"/>
          <w:b/>
          <w:bCs/>
          <w:color w:val="auto"/>
          <w:sz w:val="20"/>
          <w:szCs w:val="20"/>
        </w:rPr>
        <w:t>Student Declaration</w:t>
      </w:r>
    </w:p>
    <w:p w14:paraId="500871C5">
      <w:pPr>
        <w:spacing w:before="240" w:after="24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I/</w:t>
      </w:r>
      <w:r>
        <w:rPr>
          <w:rFonts w:hint="default" w:ascii="Times New Roman Bold" w:hAnsi="Times New Roman Bold" w:eastAsia="Times New Roman" w:cs="Times New Roman Bold"/>
          <w:b/>
          <w:bCs/>
          <w:sz w:val="20"/>
          <w:szCs w:val="20"/>
        </w:rPr>
        <w:t xml:space="preserve">We </w:t>
      </w:r>
      <w:r>
        <w:rPr>
          <w:rFonts w:hint="default" w:ascii="Times New Roman Regular" w:hAnsi="Times New Roman Regular" w:eastAsia="Times New Roman" w:cs="Times New Roman Regular"/>
          <w:sz w:val="20"/>
          <w:szCs w:val="20"/>
        </w:rPr>
        <w:t>certify that this assignment is my/our own work, with all sources appropriately acknowledged. I/</w:t>
      </w:r>
      <w:r>
        <w:rPr>
          <w:rFonts w:hint="default" w:ascii="Times New Roman Bold" w:hAnsi="Times New Roman Bold" w:eastAsia="Times New Roman" w:cs="Times New Roman Bold"/>
          <w:b/>
          <w:bCs/>
          <w:sz w:val="20"/>
          <w:szCs w:val="20"/>
        </w:rPr>
        <w:t xml:space="preserve">We </w:t>
      </w:r>
      <w:r>
        <w:rPr>
          <w:rFonts w:hint="default" w:ascii="Times New Roman Regular" w:hAnsi="Times New Roman Regular" w:eastAsia="Times New Roman" w:cs="Times New Roman Regular"/>
          <w:sz w:val="20"/>
          <w:szCs w:val="20"/>
        </w:rPr>
        <w:t>understand that a 0% mark and further academic penalties may apply if the content is found to be plagiarised or inappropriately AI-generated.</w:t>
      </w:r>
    </w:p>
    <w:p w14:paraId="6A1D6D4A">
      <w:pPr>
        <w:spacing w:before="240" w:after="240"/>
        <w:rPr>
          <w:rFonts w:hint="default" w:ascii="Times New Roman Regular" w:hAnsi="Times New Roman Regular" w:eastAsia="Times New Roman" w:cs="Times New Roman Regular"/>
          <w:sz w:val="20"/>
          <w:szCs w:val="20"/>
          <w:lang w:val="en-US"/>
        </w:rPr>
      </w:pPr>
      <w:r>
        <w:rPr>
          <w:rFonts w:hint="default" w:ascii="Times New Roman Regular" w:hAnsi="Times New Roman Regular" w:eastAsia="Times New Roman" w:cs="Times New Roman Regular"/>
          <w:b/>
          <w:bCs/>
          <w:sz w:val="20"/>
          <w:szCs w:val="20"/>
        </w:rPr>
        <w:t>Student Name &amp; Signature(s):</w:t>
      </w:r>
      <w:r>
        <w:rPr>
          <w:rFonts w:hint="default" w:ascii="Times New Roman Regular" w:hAnsi="Times New Roman Regular" w:eastAsia="Times New Roman" w:cs="Times New Roman Regular"/>
          <w:sz w:val="20"/>
          <w:szCs w:val="20"/>
        </w:rPr>
        <w:t xml:space="preserve"> </w:t>
      </w:r>
      <w:r>
        <w:rPr>
          <w:rFonts w:hint="default" w:ascii="Times New Roman Regular" w:hAnsi="Times New Roman Regular" w:eastAsia="Times New Roman" w:cs="Times New Roman Regular"/>
          <w:sz w:val="20"/>
          <w:szCs w:val="20"/>
          <w:lang w:val="en-US"/>
        </w:rPr>
        <w:t xml:space="preserve">     </w:t>
      </w:r>
      <w:r>
        <w:rPr>
          <w:rFonts w:hint="default" w:ascii="Times New Roman Regular" w:hAnsi="Times New Roman Regular" w:eastAsia="Times New Roman" w:cs="Times New Roman Regular"/>
          <w:b/>
          <w:bCs/>
          <w:sz w:val="20"/>
          <w:szCs w:val="20"/>
          <w:lang w:val="en-US"/>
        </w:rPr>
        <w:t>AKSHYA GUPTA</w:t>
      </w:r>
      <w:r>
        <w:rPr>
          <w:rFonts w:hint="default" w:ascii="Times New Roman Regular" w:hAnsi="Times New Roman Regular" w:eastAsia="Times New Roman" w:cs="Times New Roman Regular"/>
          <w:sz w:val="20"/>
          <w:szCs w:val="20"/>
          <w:lang w:val="en-US"/>
        </w:rPr>
        <w:t xml:space="preserve">      </w:t>
      </w:r>
      <w:r>
        <w:rPr>
          <w:rFonts w:hint="default" w:ascii="Times New Roman Regular" w:hAnsi="Times New Roman Regular" w:cs="Times New Roman Regular"/>
          <w:sz w:val="20"/>
          <w:szCs w:val="20"/>
        </w:rPr>
        <w:drawing>
          <wp:inline distT="0" distB="0" distL="114300" distR="114300">
            <wp:extent cx="866775" cy="951230"/>
            <wp:effectExtent l="0" t="0" r="22225" b="13970"/>
            <wp:docPr id="1" name="Picture 1" descr="My 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y N signature"/>
                    <pic:cNvPicPr>
                      <a:picLocks noChangeAspect="1"/>
                    </pic:cNvPicPr>
                  </pic:nvPicPr>
                  <pic:blipFill>
                    <a:blip r:embed="rId7"/>
                    <a:srcRect l="21652" t="32708" r="43807" b="49877"/>
                    <a:stretch>
                      <a:fillRect/>
                    </a:stretch>
                  </pic:blipFill>
                  <pic:spPr>
                    <a:xfrm>
                      <a:off x="0" y="0"/>
                      <a:ext cx="866775" cy="951230"/>
                    </a:xfrm>
                    <a:prstGeom prst="rect">
                      <a:avLst/>
                    </a:prstGeom>
                  </pic:spPr>
                </pic:pic>
              </a:graphicData>
            </a:graphic>
          </wp:inline>
        </w:drawing>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eastAsia="Times New Roman" w:cs="Times New Roman Regular"/>
          <w:b/>
          <w:bCs/>
          <w:sz w:val="20"/>
          <w:szCs w:val="20"/>
        </w:rPr>
        <w:t>Date:</w:t>
      </w:r>
      <w:r>
        <w:rPr>
          <w:rFonts w:hint="default" w:ascii="Times New Roman Regular" w:hAnsi="Times New Roman Regular" w:eastAsia="Times New Roman" w:cs="Times New Roman Regular"/>
          <w:b/>
          <w:bCs/>
          <w:sz w:val="20"/>
          <w:szCs w:val="20"/>
          <w:lang w:val="en-US"/>
        </w:rPr>
        <w:t xml:space="preserve">   17  SEPTEMBER   2026</w:t>
      </w:r>
    </w:p>
    <w:p w14:paraId="48CB8F90">
      <w:pPr>
        <w:rPr>
          <w:rFonts w:ascii="Times New Roman" w:hAnsi="Times New Roman" w:eastAsia="Times New Roman" w:cs="Times New Roman"/>
        </w:rPr>
      </w:pPr>
    </w:p>
    <w:p w14:paraId="2B5648B7">
      <w:pPr>
        <w:jc w:val="center"/>
        <w:rPr>
          <w:rFonts w:ascii="Times New Roman" w:hAnsi="Times New Roman" w:eastAsia="Times New Roman" w:cs="Times New Roman"/>
          <w:b/>
          <w:bCs/>
        </w:rPr>
      </w:pPr>
    </w:p>
    <w:p w14:paraId="16A24D8A">
      <w:pPr>
        <w:jc w:val="center"/>
        <w:rPr>
          <w:rFonts w:ascii="Times New Roman" w:hAnsi="Times New Roman" w:eastAsia="Times New Roman" w:cs="Times New Roman"/>
          <w:b/>
          <w:bCs/>
        </w:rPr>
      </w:pPr>
    </w:p>
    <w:p w14:paraId="48247341">
      <w:pPr>
        <w:jc w:val="center"/>
        <w:rPr>
          <w:rFonts w:hint="default" w:ascii="Times New Roman Regular" w:hAnsi="Times New Roman Regular" w:eastAsia="Times New Roman" w:cs="Times New Roman Regular"/>
          <w:b/>
          <w:bCs/>
          <w:sz w:val="20"/>
          <w:szCs w:val="20"/>
        </w:rPr>
      </w:pPr>
      <w:r>
        <w:rPr>
          <w:rFonts w:hint="default" w:ascii="Times New Roman Regular" w:hAnsi="Times New Roman Regular" w:eastAsia="Times New Roman" w:cs="Times New Roman Regular"/>
          <w:b/>
          <w:bCs/>
          <w:sz w:val="20"/>
          <w:szCs w:val="20"/>
        </w:rPr>
        <w:t>PBL Progress Report – I</w:t>
      </w:r>
    </w:p>
    <w:p w14:paraId="573A2595">
      <w:pPr>
        <w:pStyle w:val="3"/>
        <w:rPr>
          <w:rFonts w:hint="default" w:ascii="Times New Roman Regular" w:hAnsi="Times New Roman Regular" w:eastAsia="Times New Roman" w:cs="Times New Roman Regular"/>
          <w:b/>
          <w:bCs/>
          <w:sz w:val="20"/>
          <w:szCs w:val="20"/>
        </w:rPr>
      </w:pPr>
      <w:r>
        <w:rPr>
          <w:rFonts w:hint="default" w:ascii="Times New Roman Regular" w:hAnsi="Times New Roman Regular" w:eastAsia="Times New Roman" w:cs="Times New Roman Regular"/>
          <w:b/>
          <w:bCs/>
          <w:sz w:val="20"/>
          <w:szCs w:val="20"/>
        </w:rPr>
        <w:t>Review 1: Problem Understanding &amp; Initial Progress</w:t>
      </w:r>
    </w:p>
    <w:p w14:paraId="4CA3B671">
      <w:pPr>
        <w:spacing w:before="240" w:after="240"/>
        <w:rPr>
          <w:rFonts w:hint="default" w:ascii="Times New Roman Regular" w:hAnsi="Times New Roman Regular" w:eastAsia="Times New Roman" w:cs="Times New Roman Regular"/>
          <w:b/>
          <w:bCs/>
          <w:sz w:val="20"/>
          <w:szCs w:val="20"/>
        </w:rPr>
      </w:pPr>
      <w:r>
        <w:rPr>
          <w:rFonts w:hint="default" w:ascii="Times New Roman Regular" w:hAnsi="Times New Roman Regular" w:eastAsia="Times New Roman" w:cs="Times New Roman Regular"/>
          <w:b/>
          <w:bCs/>
          <w:sz w:val="20"/>
          <w:szCs w:val="20"/>
        </w:rPr>
        <w:t>Review Coverage:</w:t>
      </w:r>
    </w:p>
    <w:p w14:paraId="4393FC27">
      <w:pPr>
        <w:pStyle w:val="9"/>
        <w:numPr>
          <w:ilvl w:val="0"/>
          <w:numId w:val="3"/>
        </w:num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b/>
          <w:bCs/>
          <w:sz w:val="20"/>
          <w:szCs w:val="20"/>
        </w:rPr>
        <w:t>Group Assignment:</w:t>
      </w:r>
      <w:r>
        <w:rPr>
          <w:rFonts w:hint="default" w:ascii="Times New Roman Regular" w:hAnsi="Times New Roman Regular" w:eastAsia="Times New Roman" w:cs="Times New Roman Regular"/>
          <w:sz w:val="20"/>
          <w:szCs w:val="20"/>
        </w:rPr>
        <w:t xml:space="preserve"> Unit/Module 1 and Unit/Module 2 </w:t>
      </w:r>
    </w:p>
    <w:p w14:paraId="3DE6E679">
      <w:pPr>
        <w:pStyle w:val="9"/>
        <w:numPr>
          <w:ilvl w:val="0"/>
          <w:numId w:val="3"/>
        </w:num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b/>
          <w:bCs/>
          <w:sz w:val="20"/>
          <w:szCs w:val="20"/>
        </w:rPr>
        <w:t>Capstone Project:</w:t>
      </w:r>
      <w:r>
        <w:rPr>
          <w:rFonts w:hint="default" w:ascii="Times New Roman Regular" w:hAnsi="Times New Roman Regular" w:eastAsia="Times New Roman" w:cs="Times New Roman Regular"/>
          <w:sz w:val="20"/>
          <w:szCs w:val="20"/>
        </w:rPr>
        <w:t xml:space="preserve"> Rubric Categories 1 and 2 </w:t>
      </w:r>
    </w:p>
    <w:p w14:paraId="5368363A">
      <w:pPr>
        <w:pStyle w:val="9"/>
        <w:spacing w:after="0"/>
        <w:rPr>
          <w:rFonts w:hint="default" w:ascii="Times New Roman Regular" w:hAnsi="Times New Roman Regular" w:eastAsia="Times New Roman" w:cs="Times New Roman Regular"/>
          <w:sz w:val="20"/>
          <w:szCs w:val="20"/>
        </w:rPr>
      </w:pPr>
    </w:p>
    <w:tbl>
      <w:tblPr>
        <w:tblStyle w:val="5"/>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1996"/>
        <w:gridCol w:w="7474"/>
      </w:tblGrid>
      <w:tr w14:paraId="1B97C18B">
        <w:trPr>
          <w:trHeight w:val="300" w:hRule="atLeast"/>
        </w:trPr>
        <w:tc>
          <w:tcPr>
            <w:tcW w:w="1996" w:type="dxa"/>
            <w:vAlign w:val="center"/>
          </w:tcPr>
          <w:p w14:paraId="6D8A5F93">
            <w:pPr>
              <w:spacing w:after="0"/>
              <w:jc w:val="center"/>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Field</w:t>
            </w:r>
          </w:p>
        </w:tc>
        <w:tc>
          <w:tcPr>
            <w:tcW w:w="7474" w:type="dxa"/>
            <w:vAlign w:val="center"/>
          </w:tcPr>
          <w:p w14:paraId="0A2B10AA">
            <w:pPr>
              <w:spacing w:after="0"/>
              <w:jc w:val="center"/>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Details</w:t>
            </w:r>
          </w:p>
        </w:tc>
      </w:tr>
      <w:tr w14:paraId="73C2D458">
        <w:trPr>
          <w:trHeight w:val="300" w:hRule="atLeast"/>
        </w:trPr>
        <w:tc>
          <w:tcPr>
            <w:tcW w:w="1996" w:type="dxa"/>
            <w:vAlign w:val="center"/>
          </w:tcPr>
          <w:p w14:paraId="47328D0D">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1. Problem Statement / Assignment or Project Title</w:t>
            </w:r>
          </w:p>
        </w:tc>
        <w:tc>
          <w:tcPr>
            <w:tcW w:w="7474" w:type="dxa"/>
            <w:vAlign w:val="center"/>
          </w:tcPr>
          <w:p w14:paraId="39D53DEB">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b/>
                <w:bCs/>
                <w:color w:val="000000" w:themeColor="text1"/>
                <w:kern w:val="0"/>
                <w:sz w:val="20"/>
                <w:szCs w:val="20"/>
                <w:lang w:val="en-US" w:eastAsia="zh-CN" w:bidi="ar"/>
                <w14:textFill>
                  <w14:solidFill>
                    <w14:schemeClr w14:val="tx1"/>
                  </w14:solidFill>
                </w14:textFill>
              </w:rPr>
              <w:t>Topic 84: Integrated Smart City Computing Framework (SDG 11).</w:t>
            </w:r>
          </w:p>
          <w:p w14:paraId="0A5FD5BC">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Identification of functional units, bus organization, and ALU hardware architecture for multi-stream municipal telemetry processing.</w:t>
            </w:r>
          </w:p>
        </w:tc>
      </w:tr>
      <w:tr w14:paraId="22AAABD9">
        <w:trPr>
          <w:trHeight w:val="300" w:hRule="atLeast"/>
        </w:trPr>
        <w:tc>
          <w:tcPr>
            <w:tcW w:w="1996" w:type="dxa"/>
            <w:vAlign w:val="center"/>
          </w:tcPr>
          <w:p w14:paraId="5DA3A3EB">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2. Problem Context &amp; Background</w:t>
            </w:r>
          </w:p>
        </w:tc>
        <w:tc>
          <w:tcPr>
            <w:tcW w:w="7474" w:type="dxa"/>
            <w:vAlign w:val="center"/>
          </w:tcPr>
          <w:p w14:paraId="2768DE69">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Modern smart cities collect continuous data streams from traffic sensors, power grids, water meters, and emergency systems. Standard computing platforms experience severe bus contention, high instruction latency, and memory bottlenecks when handling high-volume concurrent telemetry, causing computational stalls during critical urban events.</w:t>
            </w:r>
          </w:p>
        </w:tc>
      </w:tr>
      <w:tr w14:paraId="42977EF4">
        <w:trPr>
          <w:trHeight w:val="300" w:hRule="atLeast"/>
        </w:trPr>
        <w:tc>
          <w:tcPr>
            <w:tcW w:w="1996" w:type="dxa"/>
            <w:vAlign w:val="center"/>
          </w:tcPr>
          <w:p w14:paraId="0DA42BE8">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3. Problem Identification / Understanding</w:t>
            </w:r>
          </w:p>
        </w:tc>
        <w:tc>
          <w:tcPr>
            <w:tcW w:w="7474" w:type="dxa"/>
            <w:vAlign w:val="center"/>
          </w:tcPr>
          <w:p w14:paraId="5CC0E63D">
            <w:pPr>
              <w:pStyle w:val="6"/>
              <w:keepNext w:val="0"/>
              <w:keepLines w:val="0"/>
              <w:widowControl/>
              <w:suppressLineNumbers w:val="0"/>
              <w:spacing w:before="0" w:beforeAutospacing="0" w:after="0" w:afterAutospacing="0"/>
              <w:ind w:left="0" w:right="0"/>
              <w:jc w:val="left"/>
              <w:rPr>
                <w:rFonts w:hint="default" w:ascii="Times New Roman Bold" w:hAnsi="Times New Roman Bold" w:cs="Times New Roman Bold"/>
                <w:b/>
                <w:bCs/>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Standard computing architectures lack workload-specific hardware optimizations for urban workloads:</w:t>
            </w:r>
          </w:p>
          <w:p w14:paraId="4A353522">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Bus Arbitration:</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Inflexible round-robin/daisy-chain schemes delay urgent emergency signals behind routine telemetry.</w:t>
            </w:r>
          </w:p>
          <w:p w14:paraId="59C40FFA">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Arithmetic Latency: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Standard shift-and-add arithmetic takes O(n) cycles, creating bottlenecks for GIS and spatial math.</w:t>
            </w:r>
          </w:p>
          <w:p w14:paraId="5C7229FF">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w:t>
            </w: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Register &amp; Data Movement: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Missing dedicated DMA channels and register mapping leads to excessive CPU polling.</w:t>
            </w:r>
          </w:p>
        </w:tc>
      </w:tr>
      <w:tr w14:paraId="34974E91">
        <w:trPr>
          <w:trHeight w:val="300" w:hRule="atLeast"/>
        </w:trPr>
        <w:tc>
          <w:tcPr>
            <w:tcW w:w="1996" w:type="dxa"/>
            <w:vAlign w:val="center"/>
          </w:tcPr>
          <w:p w14:paraId="78FB6D16">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4. Objectives</w:t>
            </w:r>
          </w:p>
        </w:tc>
        <w:tc>
          <w:tcPr>
            <w:tcW w:w="7474" w:type="dxa"/>
            <w:vAlign w:val="center"/>
          </w:tcPr>
          <w:p w14:paraId="07AD396A">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Identify key functional computing units and internal registers for an urban telemetry ingestion node.</w:t>
            </w:r>
          </w:p>
          <w:p w14:paraId="7F0901F3">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Formulate a 64-bit decoupled bus system with a dual-tier preemptive arbiter (emergency interrupt vs. cyclic polling).</w:t>
            </w:r>
          </w:p>
          <w:p w14:paraId="0DC16845">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Design an optimized ALU using Radix-4 Booth's signed multiplication to reduce multiplication cycles by 50%.</w:t>
            </w:r>
          </w:p>
          <w:p w14:paraId="32C162B8">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Specify IEEE 754 single and double precision floating-point representation for spatial and geometric indexing.</w:t>
            </w:r>
          </w:p>
        </w:tc>
      </w:tr>
      <w:tr w14:paraId="1055EA16">
        <w:trPr>
          <w:trHeight w:val="90" w:hRule="atLeast"/>
        </w:trPr>
        <w:tc>
          <w:tcPr>
            <w:tcW w:w="1996" w:type="dxa"/>
            <w:vAlign w:val="center"/>
          </w:tcPr>
          <w:p w14:paraId="25871058">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5. Target Users / Stakeholders</w:t>
            </w:r>
          </w:p>
        </w:tc>
        <w:tc>
          <w:tcPr>
            <w:tcW w:w="7474" w:type="dxa"/>
            <w:vAlign w:val="center"/>
          </w:tcPr>
          <w:p w14:paraId="21CA8379">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Municipal Command &amp; Operations Centers (traffic, emergency dispatch, and utilities).</w:t>
            </w:r>
          </w:p>
          <w:p w14:paraId="28EDBF05">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Embedded Hardware Engineers designing low-power edge aggregators and compute controllers.</w:t>
            </w:r>
          </w:p>
          <w:p w14:paraId="632BD738">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Urban Citizens benefiting from faster emergency response and efficient infrastructure under SDG 11.</w:t>
            </w:r>
          </w:p>
        </w:tc>
      </w:tr>
      <w:tr w14:paraId="135E0AFB">
        <w:trPr>
          <w:trHeight w:val="300" w:hRule="atLeast"/>
        </w:trPr>
        <w:tc>
          <w:tcPr>
            <w:tcW w:w="1996" w:type="dxa"/>
            <w:vAlign w:val="center"/>
          </w:tcPr>
          <w:p w14:paraId="39FB1825">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6. Research / Literature Review Completed</w:t>
            </w:r>
          </w:p>
        </w:tc>
        <w:tc>
          <w:tcPr>
            <w:tcW w:w="7474" w:type="dxa"/>
            <w:vAlign w:val="center"/>
          </w:tcPr>
          <w:p w14:paraId="452A3F22">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Pasricha &amp; Dutt (2010-2020):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On-Chip Communication Architectures. Evaluated priority-based vs. TDM bus arbitration to guarantee deterministic latency for critical interrupts.</w:t>
            </w:r>
          </w:p>
          <w:p w14:paraId="18263096">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B. Parhami (Oxford Univ. Press):</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Computer Arithmetic. Proved that Radix-4 Booth Encoding reduces partial products from n to n/2 iterations for embedded hardware multipliers.</w:t>
            </w:r>
          </w:p>
          <w:p w14:paraId="4AABD9B8">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IEEE Std 754-2019: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Standard for Floating-Point Arithmetic. Analyzed 32-bit/64-bit exponent biasing and mantissa normalization required for spatial GIS coordinates.</w:t>
            </w:r>
          </w:p>
          <w:p w14:paraId="40EB5BB4">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Zanella et al. (IEEE IoT Journal):</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Characterized smart city sensor streaming patterns, showing high-frequency telemetry bursts mixed with urgent override alerts.</w:t>
            </w:r>
          </w:p>
        </w:tc>
      </w:tr>
      <w:tr w14:paraId="78B269A3">
        <w:trPr>
          <w:trHeight w:val="300" w:hRule="atLeast"/>
        </w:trPr>
        <w:tc>
          <w:tcPr>
            <w:tcW w:w="1996" w:type="dxa"/>
            <w:vAlign w:val="center"/>
          </w:tcPr>
          <w:p w14:paraId="5BE580F5">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7. Unit/Module Concepts Identified for Application</w:t>
            </w:r>
          </w:p>
        </w:tc>
        <w:tc>
          <w:tcPr>
            <w:tcW w:w="7474" w:type="dxa"/>
            <w:vAlign w:val="center"/>
          </w:tcPr>
          <w:p w14:paraId="28956C8C">
            <w:pPr>
              <w:pStyle w:val="6"/>
              <w:keepNext w:val="0"/>
              <w:keepLines w:val="0"/>
              <w:widowControl/>
              <w:suppressLineNumbers w:val="0"/>
              <w:spacing w:before="0" w:beforeAutospacing="0" w:after="0" w:afterAutospacing="0"/>
              <w:ind w:left="0" w:right="0"/>
              <w:jc w:val="left"/>
              <w:rPr>
                <w:rFonts w:hint="default" w:ascii="Times New Roman Bold" w:hAnsi="Times New Roman Bold" w:cs="Times New Roman Bold"/>
                <w:b/>
                <w:bCs/>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Module 1: Computer Organization &amp; Bus Design</w:t>
            </w:r>
          </w:p>
          <w:p w14:paraId="2C02AD3C">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Functional Units:</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Memory Unit (telemetry buffers), Processing Unit (ALU + control registers), and DMA controllers.</w:t>
            </w:r>
          </w:p>
          <w:p w14:paraId="13C0CD9F">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Bus Architecture: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64-bit synchronous bus lines separated into Data, Address, and Control buses.</w:t>
            </w:r>
          </w:p>
          <w:p w14:paraId="4E1A1755">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Bus Arbitration: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Centralized dual-tier arbiter (Preemptive emergency override + round-robin routine polling).</w:t>
            </w:r>
          </w:p>
          <w:p w14:paraId="3AA88C4B">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Registers: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PC, MAR, MDR, AC, IR, and dedicated telemetry registers (TR0-TR3).</w:t>
            </w:r>
          </w:p>
          <w:p w14:paraId="52F075A3">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Addressing Modes</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Base-Register and Indexed addressing modes for array traversal in ring-buffers.</w:t>
            </w:r>
          </w:p>
          <w:p w14:paraId="15A9BEE6">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p>
          <w:p w14:paraId="5510F213">
            <w:pPr>
              <w:pStyle w:val="6"/>
              <w:keepNext w:val="0"/>
              <w:keepLines w:val="0"/>
              <w:widowControl/>
              <w:suppressLineNumbers w:val="0"/>
              <w:spacing w:before="0" w:beforeAutospacing="0" w:after="0" w:afterAutospacing="0"/>
              <w:ind w:left="0" w:right="0"/>
              <w:jc w:val="left"/>
              <w:rPr>
                <w:rFonts w:hint="default" w:ascii="Times New Roman Bold" w:hAnsi="Times New Roman Bold" w:cs="Times New Roman Bold"/>
                <w:b/>
                <w:bCs/>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Module 2: ALU Design &amp; Arithmetic Operations</w:t>
            </w:r>
          </w:p>
          <w:p w14:paraId="3B32B73F">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Addition/Subtraction: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Carry Lookahead (CLA) parallel adder logic to eliminate ripple delay.</w:t>
            </w:r>
          </w:p>
          <w:p w14:paraId="639A65EA">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Multiplication:</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Radix-4 Booth's Algorithm using bit-pair recoding {-2, -1, 0, +1, +2} to complete in n/2 cycles.</w:t>
            </w:r>
          </w:p>
          <w:p w14:paraId="02EF4607">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Division:</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Non-Restoring Division logic for efficient quotient generation with fewer arithmetic steps.</w:t>
            </w:r>
          </w:p>
          <w:p w14:paraId="208AC6BD">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Floating Point: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Hardware adherence to IEEE 754 Single (32-bit) and Double (64-bit) precision standards.</w:t>
            </w:r>
          </w:p>
        </w:tc>
      </w:tr>
      <w:tr w14:paraId="0325CE83">
        <w:trPr>
          <w:trHeight w:val="300" w:hRule="atLeast"/>
        </w:trPr>
        <w:tc>
          <w:tcPr>
            <w:tcW w:w="1996" w:type="dxa"/>
            <w:vAlign w:val="center"/>
          </w:tcPr>
          <w:p w14:paraId="50E65B74">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8. Work Completed During Month 1</w:t>
            </w:r>
          </w:p>
        </w:tc>
        <w:tc>
          <w:tcPr>
            <w:tcW w:w="7474" w:type="dxa"/>
            <w:vAlign w:val="center"/>
          </w:tcPr>
          <w:p w14:paraId="1064B8E9">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Completed requirement identification and structural block mapping for the compute node.</w:t>
            </w:r>
          </w:p>
          <w:p w14:paraId="4F44C615">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Defined Register Transfer Language (RTL) workflows for sensor packet ingestion and register transfer.</w:t>
            </w:r>
          </w:p>
          <w:p w14:paraId="1E5CB7D0">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Mapped arithmetic recoding tables for Radix-4 Booth multiplication and verified bit-level IEEE 754 layout.</w:t>
            </w:r>
          </w:p>
          <w:p w14:paraId="080ED66A">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Completed Review 1 documentation aligned with CCSE 0304 and SDG 11 criteria.</w:t>
            </w:r>
          </w:p>
        </w:tc>
      </w:tr>
      <w:tr w14:paraId="38B1A7EE">
        <w:trPr>
          <w:trHeight w:val="300" w:hRule="atLeast"/>
        </w:trPr>
        <w:tc>
          <w:tcPr>
            <w:tcW w:w="1996" w:type="dxa"/>
            <w:vAlign w:val="center"/>
          </w:tcPr>
          <w:p w14:paraId="0DD418CA">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9. Evidence / Supporting Material</w:t>
            </w:r>
          </w:p>
        </w:tc>
        <w:tc>
          <w:tcPr>
            <w:tcW w:w="7474" w:type="dxa"/>
            <w:vAlign w:val="center"/>
          </w:tcPr>
          <w:p w14:paraId="3B2B6DEB">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Structural block schematic of Module 1 functional units and bus interconnect.</w:t>
            </w:r>
          </w:p>
          <w:p w14:paraId="33DC7D03">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State-transition logic chart for the dual-mode centralized bus arbiter.</w:t>
            </w:r>
          </w:p>
          <w:p w14:paraId="15A64FDF">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Radix-4 Booth multiplication manual trace and IEEE 754 sign-exponent-mantissa field mappings.</w:t>
            </w:r>
          </w:p>
        </w:tc>
      </w:tr>
      <w:tr w14:paraId="72F6A562">
        <w:trPr>
          <w:trHeight w:val="300" w:hRule="atLeast"/>
        </w:trPr>
        <w:tc>
          <w:tcPr>
            <w:tcW w:w="1996" w:type="dxa"/>
            <w:vAlign w:val="center"/>
          </w:tcPr>
          <w:p w14:paraId="7F615CC9">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10. Challenges Faced</w:t>
            </w:r>
          </w:p>
        </w:tc>
        <w:tc>
          <w:tcPr>
            <w:tcW w:w="7474" w:type="dxa"/>
            <w:vAlign w:val="center"/>
          </w:tcPr>
          <w:p w14:paraId="0649576A">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Designing a low-latency bus arbiter that prevents starvation of low-priority utility data during peak bursts.</w:t>
            </w:r>
          </w:p>
          <w:p w14:paraId="41DCA95E">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Balancing arithmetic unit performance and hardware gate complexity on a beginner-level framework.</w:t>
            </w:r>
          </w:p>
          <w:p w14:paraId="5DE5E82F">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Choosing optimal register bit-widths to handle raw sensor bytes alongside high-precision floating-point GIS data.</w:t>
            </w:r>
          </w:p>
        </w:tc>
      </w:tr>
      <w:tr w14:paraId="3151E046">
        <w:trPr>
          <w:trHeight w:val="300" w:hRule="atLeast"/>
        </w:trPr>
        <w:tc>
          <w:tcPr>
            <w:tcW w:w="1996" w:type="dxa"/>
            <w:vAlign w:val="center"/>
          </w:tcPr>
          <w:p w14:paraId="59C32ECB">
            <w:pPr>
              <w:spacing w:after="0"/>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Regular" w:hAnsi="Times New Roman Regular" w:eastAsia="Times New Roman" w:cs="Times New Roman Regular"/>
                <w:color w:val="000000" w:themeColor="text1"/>
                <w:sz w:val="20"/>
                <w:szCs w:val="20"/>
                <w14:textFill>
                  <w14:solidFill>
                    <w14:schemeClr w14:val="tx1"/>
                  </w14:solidFill>
                </w14:textFill>
              </w:rPr>
              <w:t>11. Individual / Team Contribution</w:t>
            </w:r>
          </w:p>
        </w:tc>
        <w:tc>
          <w:tcPr>
            <w:tcW w:w="7474" w:type="dxa"/>
            <w:vAlign w:val="center"/>
          </w:tcPr>
          <w:p w14:paraId="6F20311E">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Akshya Gupta (2501331930010):</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Team Lead; led ALU specifications, Radix-4 Booth recoding, IEEE 754 FPU layout, and final integration.</w:t>
            </w:r>
          </w:p>
          <w:p w14:paraId="5379E7B4">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Priyanshu Rai (2501331930038):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Led Module 1 analysis; identified functional units, 64-bit bus lines, and dual-tier arbitration logic.</w:t>
            </w:r>
          </w:p>
          <w:p w14:paraId="234809D4">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Kajal Tiwari (2501331930030):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Identified register models, mapped indexed addressing modes, and formulated instruction fetch RTL.</w:t>
            </w:r>
          </w:p>
          <w:p w14:paraId="2D18DD4F">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Anshika Verma (2501331930014):</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Analyzed telemetry data rates, identified memory transfer constraints, and conducted literature survey.</w:t>
            </w:r>
          </w:p>
        </w:tc>
      </w:tr>
      <w:tr w14:paraId="7142C3AE">
        <w:trPr>
          <w:trHeight w:val="300" w:hRule="atLeast"/>
        </w:trPr>
        <w:tc>
          <w:tcPr>
            <w:tcW w:w="1996" w:type="dxa"/>
            <w:vAlign w:val="center"/>
          </w:tcPr>
          <w:p w14:paraId="01F23AA0">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12. Overall Progress (%)</w:t>
            </w:r>
          </w:p>
        </w:tc>
        <w:tc>
          <w:tcPr>
            <w:tcW w:w="7474" w:type="dxa"/>
            <w:vAlign w:val="center"/>
          </w:tcPr>
          <w:p w14:paraId="6F3A9BA7">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sz w:val="20"/>
                <w:szCs w:val="20"/>
              </w:rPr>
            </w:pPr>
            <w:r>
              <w:rPr>
                <w:rFonts w:hint="default" w:ascii="Times New Roman Regular" w:hAnsi="Times New Roman Regular" w:eastAsia="helvetica" w:cs="Times New Roman Regular"/>
                <w:b/>
                <w:bCs/>
                <w:color w:val="000000" w:themeColor="text1"/>
                <w:kern w:val="0"/>
                <w:sz w:val="20"/>
                <w:szCs w:val="20"/>
                <w:lang w:val="en-US" w:eastAsia="zh-CN" w:bidi="ar"/>
                <w14:textFill>
                  <w14:solidFill>
                    <w14:schemeClr w14:val="tx1"/>
                  </w14:solidFill>
                </w14:textFill>
              </w:rPr>
              <w:t>35%</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(Problem understanding, architectural identification, and Module 1 &amp; Module 2 formulations fully completed).</w:t>
            </w:r>
          </w:p>
        </w:tc>
      </w:tr>
      <w:tr w14:paraId="64F9CCD9">
        <w:trPr>
          <w:trHeight w:val="300" w:hRule="atLeast"/>
        </w:trPr>
        <w:tc>
          <w:tcPr>
            <w:tcW w:w="1996" w:type="dxa"/>
            <w:vAlign w:val="center"/>
          </w:tcPr>
          <w:p w14:paraId="047731B5">
            <w:pPr>
              <w:spacing w:after="0"/>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t>13. Plan for Next Review</w:t>
            </w:r>
          </w:p>
        </w:tc>
        <w:tc>
          <w:tcPr>
            <w:tcW w:w="7474" w:type="dxa"/>
            <w:vAlign w:val="center"/>
          </w:tcPr>
          <w:p w14:paraId="1CDFC6B6">
            <w:pPr>
              <w:pStyle w:val="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xml:space="preserve">- Focus on Module 3 (Control Unit &amp; Pipelining): </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Design a 5-stage RISC pipeline with hazard forwarding and branch prediction.</w:t>
            </w:r>
          </w:p>
          <w:p w14:paraId="35B4E913">
            <w:pPr>
              <w:pStyle w:val="6"/>
              <w:keepNext w:val="0"/>
              <w:keepLines w:val="0"/>
              <w:widowControl/>
              <w:suppressLineNumbers w:val="0"/>
              <w:spacing w:before="0" w:beforeAutospacing="0" w:after="0" w:afterAutospacing="0"/>
              <w:ind w:left="0" w:right="0"/>
              <w:jc w:val="left"/>
              <w:rPr>
                <w:rFonts w:hint="default" w:ascii="Times New Roman Regular" w:hAnsi="Times New Roman Regular" w:eastAsia="Times New Roman" w:cs="Times New Roman Regular"/>
                <w:sz w:val="20"/>
                <w:szCs w:val="20"/>
              </w:rPr>
            </w:pPr>
            <w:r>
              <w:rPr>
                <w:rFonts w:hint="default" w:ascii="Times New Roman Bold" w:hAnsi="Times New Roman Bold" w:eastAsia="helvetica" w:cs="Times New Roman Bold"/>
                <w:b/>
                <w:bCs/>
                <w:color w:val="000000" w:themeColor="text1"/>
                <w:kern w:val="0"/>
                <w:sz w:val="20"/>
                <w:szCs w:val="20"/>
                <w:lang w:val="en-US" w:eastAsia="zh-CN" w:bidi="ar"/>
                <w14:textFill>
                  <w14:solidFill>
                    <w14:schemeClr w14:val="tx1"/>
                  </w14:solidFill>
                </w14:textFill>
              </w:rPr>
              <w:t>- Focus on Module 4 (Memory Hierarchy &amp; Coherence):</w:t>
            </w:r>
            <w:r>
              <w:rPr>
                <w:rFonts w:hint="default" w:ascii="Times New Roman Regular" w:hAnsi="Times New Roman Regular" w:eastAsia="helvetica" w:cs="Times New Roman Regular"/>
                <w:color w:val="000000" w:themeColor="text1"/>
                <w:kern w:val="0"/>
                <w:sz w:val="20"/>
                <w:szCs w:val="20"/>
                <w:lang w:val="en-US" w:eastAsia="zh-CN" w:bidi="ar"/>
                <w14:textFill>
                  <w14:solidFill>
                    <w14:schemeClr w14:val="tx1"/>
                  </w14:solidFill>
                </w14:textFill>
              </w:rPr>
              <w:t xml:space="preserve"> Design L1/L2 cache sizing and directory-based MESI coherence protocols.</w:t>
            </w:r>
          </w:p>
        </w:tc>
      </w:tr>
    </w:tbl>
    <w:p w14:paraId="72A24CB9">
      <w:pPr>
        <w:rPr>
          <w:rFonts w:ascii="Times New Roman" w:hAnsi="Times New Roman" w:eastAsia="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helvetica">
    <w:panose1 w:val="00000000000000000000"/>
    <w:charset w:val="00"/>
    <w:family w:val="auto"/>
    <w:pitch w:val="default"/>
    <w:sig w:usb0="E00002FF" w:usb1="5000785B" w:usb2="00000000" w:usb3="00000000" w:csb0="2000019F" w:csb1="4F01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B4F23"/>
    <w:multiLevelType w:val="singleLevel"/>
    <w:tmpl w:val="94FB4F23"/>
    <w:lvl w:ilvl="0" w:tentative="0">
      <w:start w:val="1"/>
      <w:numFmt w:val="decimal"/>
      <w:lvlText w:val="%1."/>
      <w:lvlJc w:val="left"/>
      <w:pPr>
        <w:tabs>
          <w:tab w:val="left" w:pos="425"/>
        </w:tabs>
        <w:ind w:left="425" w:leftChars="0" w:hanging="425" w:firstLineChars="0"/>
      </w:pPr>
      <w:rPr>
        <w:rFonts w:hint="default"/>
      </w:rPr>
    </w:lvl>
  </w:abstractNum>
  <w:abstractNum w:abstractNumId="1">
    <w:nsid w:val="3EF70724"/>
    <w:multiLevelType w:val="singleLevel"/>
    <w:tmpl w:val="3EF70724"/>
    <w:lvl w:ilvl="0" w:tentative="0">
      <w:start w:val="1"/>
      <w:numFmt w:val="decimal"/>
      <w:lvlText w:val="%1."/>
      <w:lvlJc w:val="left"/>
      <w:pPr>
        <w:tabs>
          <w:tab w:val="left" w:pos="425"/>
        </w:tabs>
        <w:ind w:left="425" w:leftChars="0" w:hanging="425" w:firstLineChars="0"/>
      </w:pPr>
      <w:rPr>
        <w:rFonts w:hint="default"/>
      </w:rPr>
    </w:lvl>
  </w:abstractNum>
  <w:abstractNum w:abstractNumId="2">
    <w:nsid w:val="7898A70A"/>
    <w:multiLevelType w:val="multilevel"/>
    <w:tmpl w:val="7898A7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69C718"/>
    <w:rsid w:val="00038510"/>
    <w:rsid w:val="00890237"/>
    <w:rsid w:val="00F4677A"/>
    <w:rsid w:val="031F46F4"/>
    <w:rsid w:val="034F3707"/>
    <w:rsid w:val="0463D0A1"/>
    <w:rsid w:val="04B75235"/>
    <w:rsid w:val="0632A142"/>
    <w:rsid w:val="0650C6FB"/>
    <w:rsid w:val="0737EE6D"/>
    <w:rsid w:val="08D2B46D"/>
    <w:rsid w:val="0B31A197"/>
    <w:rsid w:val="0EA36ACA"/>
    <w:rsid w:val="0FE069B1"/>
    <w:rsid w:val="1026076D"/>
    <w:rsid w:val="11406CE2"/>
    <w:rsid w:val="11457B21"/>
    <w:rsid w:val="12F05522"/>
    <w:rsid w:val="13196EA4"/>
    <w:rsid w:val="14FD2983"/>
    <w:rsid w:val="179FEA79"/>
    <w:rsid w:val="17B04448"/>
    <w:rsid w:val="19D9F4B6"/>
    <w:rsid w:val="1A43986F"/>
    <w:rsid w:val="1B78B30F"/>
    <w:rsid w:val="1D989519"/>
    <w:rsid w:val="1F638BE2"/>
    <w:rsid w:val="1FA67069"/>
    <w:rsid w:val="20501FE4"/>
    <w:rsid w:val="20A993A8"/>
    <w:rsid w:val="20E17DA2"/>
    <w:rsid w:val="21A386B4"/>
    <w:rsid w:val="233B5571"/>
    <w:rsid w:val="23ABC4B0"/>
    <w:rsid w:val="268674FA"/>
    <w:rsid w:val="27619DE8"/>
    <w:rsid w:val="27F95CEC"/>
    <w:rsid w:val="2A3D1F48"/>
    <w:rsid w:val="2A8EA9D5"/>
    <w:rsid w:val="2B7D63DC"/>
    <w:rsid w:val="2C69C718"/>
    <w:rsid w:val="2CDE1373"/>
    <w:rsid w:val="2FB1A2EC"/>
    <w:rsid w:val="32B5BF76"/>
    <w:rsid w:val="32DDBF3C"/>
    <w:rsid w:val="34CB10FA"/>
    <w:rsid w:val="34E6BF77"/>
    <w:rsid w:val="350AAE97"/>
    <w:rsid w:val="37757E48"/>
    <w:rsid w:val="38CB9DD0"/>
    <w:rsid w:val="38F6EDFB"/>
    <w:rsid w:val="3ADC4D42"/>
    <w:rsid w:val="3BFC4C87"/>
    <w:rsid w:val="3C0DC0F5"/>
    <w:rsid w:val="3C2E21C4"/>
    <w:rsid w:val="3C3D20BC"/>
    <w:rsid w:val="3C78524C"/>
    <w:rsid w:val="3D5008D7"/>
    <w:rsid w:val="3D7A320A"/>
    <w:rsid w:val="3E2D68B5"/>
    <w:rsid w:val="41C64406"/>
    <w:rsid w:val="4264D66A"/>
    <w:rsid w:val="42EE9D97"/>
    <w:rsid w:val="42F2405D"/>
    <w:rsid w:val="436FC65A"/>
    <w:rsid w:val="43EF7AAF"/>
    <w:rsid w:val="44398B83"/>
    <w:rsid w:val="455B5262"/>
    <w:rsid w:val="46893737"/>
    <w:rsid w:val="46B87A93"/>
    <w:rsid w:val="46EC2411"/>
    <w:rsid w:val="4702A4C8"/>
    <w:rsid w:val="4BB8998C"/>
    <w:rsid w:val="4BFB4823"/>
    <w:rsid w:val="4C68E91C"/>
    <w:rsid w:val="4CAE8F8A"/>
    <w:rsid w:val="4CBCFBBF"/>
    <w:rsid w:val="4CBE5602"/>
    <w:rsid w:val="4DA24B16"/>
    <w:rsid w:val="4F4F2FC9"/>
    <w:rsid w:val="52142C06"/>
    <w:rsid w:val="528E4294"/>
    <w:rsid w:val="54628F7A"/>
    <w:rsid w:val="55634635"/>
    <w:rsid w:val="55D9EE55"/>
    <w:rsid w:val="5781343C"/>
    <w:rsid w:val="58E1548A"/>
    <w:rsid w:val="58F22594"/>
    <w:rsid w:val="594B3EE0"/>
    <w:rsid w:val="5FBF3C81"/>
    <w:rsid w:val="5FF872EA"/>
    <w:rsid w:val="60A76447"/>
    <w:rsid w:val="613B93C6"/>
    <w:rsid w:val="63462BC9"/>
    <w:rsid w:val="6572DD76"/>
    <w:rsid w:val="65D1043D"/>
    <w:rsid w:val="662DBF49"/>
    <w:rsid w:val="675B781E"/>
    <w:rsid w:val="67B5C155"/>
    <w:rsid w:val="69209C3E"/>
    <w:rsid w:val="692E7ECB"/>
    <w:rsid w:val="6BB56C56"/>
    <w:rsid w:val="6C399DB1"/>
    <w:rsid w:val="6C437CBD"/>
    <w:rsid w:val="6D086036"/>
    <w:rsid w:val="6DE6AA7E"/>
    <w:rsid w:val="6F3DA65E"/>
    <w:rsid w:val="6FF8A530"/>
    <w:rsid w:val="7002C7C8"/>
    <w:rsid w:val="7022C24C"/>
    <w:rsid w:val="71BC2D24"/>
    <w:rsid w:val="7269547A"/>
    <w:rsid w:val="72770D18"/>
    <w:rsid w:val="72997E31"/>
    <w:rsid w:val="72C5402C"/>
    <w:rsid w:val="743D2FC6"/>
    <w:rsid w:val="746D87FC"/>
    <w:rsid w:val="749A0788"/>
    <w:rsid w:val="7557FBAF"/>
    <w:rsid w:val="7615724F"/>
    <w:rsid w:val="769D5D70"/>
    <w:rsid w:val="781F7FF8"/>
    <w:rsid w:val="78EC9E65"/>
    <w:rsid w:val="79274C42"/>
    <w:rsid w:val="79B2B046"/>
    <w:rsid w:val="79DAE6F0"/>
    <w:rsid w:val="7CD373E0"/>
    <w:rsid w:val="7CE94059"/>
    <w:rsid w:val="7D403670"/>
    <w:rsid w:val="7E425650"/>
    <w:rsid w:val="7FB6B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rPr>
      <w:sz w:val="24"/>
      <w:szCs w:val="24"/>
    </w:rPr>
  </w:style>
  <w:style w:type="table" w:styleId="7">
    <w:name w:val="Table Grid"/>
    <w:basedOn w:val="5"/>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8">
    <w:name w:val="No Spacing"/>
    <w:qFormat/>
    <w:uiPriority w:val="1"/>
    <w:pPr>
      <w:spacing w:after="0" w:line="279" w:lineRule="auto"/>
    </w:pPr>
    <w:rPr>
      <w:rFonts w:asciiTheme="minorHAnsi" w:hAnsiTheme="minorHAnsi" w:eastAsiaTheme="minorEastAsia" w:cstheme="minorBidi"/>
      <w:sz w:val="24"/>
      <w:szCs w:val="24"/>
      <w:lang w:val="en-US" w:eastAsia="ja-JP" w:bidi="ar-SA"/>
    </w:rPr>
  </w:style>
  <w:style w:type="paragraph" w:styleId="9">
    <w:name w:val="List Paragraph"/>
    <w:basedOn w:val="1"/>
    <w:qFormat/>
    <w:uiPriority w:val="34"/>
    <w:pPr>
      <w:ind w:left="720"/>
      <w:contextualSpacing/>
    </w:pPr>
  </w:style>
  <w:style w:type="paragraph" w:customStyle="1" w:styleId="10">
    <w:name w:val="p1"/>
    <w:uiPriority w:val="0"/>
    <w:pPr>
      <w:spacing w:before="0" w:beforeAutospacing="0" w:after="0" w:afterAutospacing="0"/>
      <w:ind w:left="0" w:right="0"/>
      <w:jc w:val="left"/>
    </w:pPr>
    <w:rPr>
      <w:rFonts w:ascii="helvetica" w:hAnsi="helvetica" w:eastAsia="helvetica" w:cs="helvetica"/>
      <w:color w:val="FFFFFF"/>
      <w:kern w:val="0"/>
      <w:sz w:val="22"/>
      <w:szCs w:val="22"/>
      <w:lang w:val="en-US" w:eastAsia="zh-CN" w:bidi="ar"/>
    </w:rPr>
  </w:style>
  <w:style w:type="paragraph" w:customStyle="1" w:styleId="11">
    <w:name w:val="p2"/>
    <w:uiPriority w:val="0"/>
    <w:pPr>
      <w:spacing w:before="0" w:beforeAutospacing="0" w:after="0" w:afterAutospacing="0"/>
      <w:ind w:left="0" w:right="0"/>
      <w:jc w:val="left"/>
    </w:pPr>
    <w:rPr>
      <w:rFonts w:hint="default" w:ascii="helvetica" w:hAnsi="helvetica" w:eastAsia="helvetica" w:cs="helvetica"/>
      <w:color w:val="FFFFFF"/>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441</Words>
  <Characters>2518</Characters>
  <Lines>20</Lines>
  <Paragraphs>5</Paragraphs>
  <TotalTime>62</TotalTime>
  <ScaleCrop>false</ScaleCrop>
  <LinksUpToDate>false</LinksUpToDate>
  <CharactersWithSpaces>2954</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2026-08-20T09:37:00Z</dcterms:created>
  <dc:creator>Dr. Irphan Ali</dc:creator>
  <cp:lastModifiedBy>Akshya Gupta</cp:lastModifiedBy>
  <dcterms:modified xsi:type="dcterms:W3CDTF">2026-09-18T11:29:51Z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180C4A6FE8EDF7B157D3AC6ACBEB9795_42</vt:lpwstr>
  </property>
</Properties>
</file>