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78E30">
      <w:pPr>
        <w:jc w:val="center"/>
        <w:rPr>
          <w:rFonts w:hint="default" w:ascii="Times New Roman Regular" w:hAnsi="Times New Roman Regular" w:eastAsia="Times New Roman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drawing>
          <wp:inline distT="0" distB="0" distL="0" distR="0">
            <wp:extent cx="1679575" cy="697865"/>
            <wp:effectExtent l="0" t="0" r="22225" b="13335"/>
            <wp:docPr id="11274273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27383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4FFB">
      <w:pPr>
        <w:spacing w:before="240" w:after="240"/>
        <w:rPr>
          <w:rFonts w:hint="default" w:ascii="Times New Roman Regular" w:hAnsi="Times New Roman Regular" w:eastAsia="Times New Roman" w:cs="Times New Roman Regular"/>
          <w:i/>
          <w:iCs/>
          <w:sz w:val="20"/>
          <w:szCs w:val="20"/>
          <w:lang w:val="en-US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0"/>
          <w:szCs w:val="20"/>
        </w:rPr>
        <w:t>Program and Branch Name:</w:t>
      </w:r>
      <w:r>
        <w:rPr>
          <w:rFonts w:hint="default" w:ascii="Times New Roman Regular" w:hAnsi="Times New Roman Regular" w:eastAsia="Times New Roman" w:cs="Times New Roman Regular"/>
          <w:b/>
          <w:bCs/>
          <w:sz w:val="20"/>
          <w:szCs w:val="20"/>
          <w:lang w:val="en-US"/>
        </w:rPr>
        <w:t xml:space="preserve">        </w:t>
      </w:r>
      <w:r>
        <w:rPr>
          <w:rFonts w:hint="default" w:ascii="Times New Roman Regular" w:hAnsi="Times New Roman Regular" w:eastAsia="Times New Roman" w:cs="Times New Roman Regular"/>
          <w:i/>
          <w:iCs/>
          <w:sz w:val="20"/>
          <w:szCs w:val="20"/>
        </w:rPr>
        <w:t>B</w:t>
      </w:r>
      <w:r>
        <w:rPr>
          <w:rFonts w:hint="default" w:ascii="Times New Roman Regular" w:hAnsi="Times New Roman Regular" w:eastAsia="Times New Roman" w:cs="Times New Roman Regular"/>
          <w:i/>
          <w:iCs/>
          <w:sz w:val="20"/>
          <w:szCs w:val="20"/>
          <w:lang w:val="en-US"/>
        </w:rPr>
        <w:t>.</w:t>
      </w:r>
      <w:r>
        <w:rPr>
          <w:rFonts w:hint="default" w:ascii="Times New Roman Regular" w:hAnsi="Times New Roman Regular" w:eastAsia="Times New Roman" w:cs="Times New Roman Regular"/>
          <w:i/>
          <w:iCs/>
          <w:sz w:val="20"/>
          <w:szCs w:val="20"/>
        </w:rPr>
        <w:t xml:space="preserve">Tech </w:t>
      </w:r>
      <w:r>
        <w:rPr>
          <w:rFonts w:hint="default" w:ascii="Times New Roman Regular" w:hAnsi="Times New Roman Regular" w:eastAsia="Times New Roman" w:cs="Times New Roman Regular"/>
          <w:i/>
          <w:iCs/>
          <w:sz w:val="20"/>
          <w:szCs w:val="20"/>
          <w:lang w:val="en-US"/>
        </w:rPr>
        <w:t xml:space="preserve">  in  CSE TWIN (3</w:t>
      </w:r>
      <w:r>
        <w:rPr>
          <w:rFonts w:hint="default" w:ascii="Times New Roman Regular" w:hAnsi="Times New Roman Regular" w:eastAsia="Times New Roman" w:cs="Times New Roman Regular"/>
          <w:i/>
          <w:iCs/>
          <w:sz w:val="20"/>
          <w:szCs w:val="20"/>
          <w:vertAlign w:val="superscript"/>
          <w:lang w:val="en-US"/>
        </w:rPr>
        <w:t>RD</w:t>
      </w:r>
      <w:r>
        <w:rPr>
          <w:rFonts w:hint="default" w:ascii="Times New Roman Regular" w:hAnsi="Times New Roman Regular" w:eastAsia="Times New Roman" w:cs="Times New Roman Regular"/>
          <w:i/>
          <w:iCs/>
          <w:sz w:val="20"/>
          <w:szCs w:val="20"/>
          <w:lang w:val="en-US"/>
        </w:rPr>
        <w:t xml:space="preserve"> SEMESTER)</w:t>
      </w:r>
    </w:p>
    <w:p w14:paraId="12B4556B">
      <w:pPr>
        <w:spacing w:before="240" w:after="240"/>
        <w:jc w:val="center"/>
        <w:rPr>
          <w:rFonts w:hint="default" w:ascii="Times New Roman Regular" w:hAnsi="Times New Roman Regular" w:eastAsia="Times New Roman" w:cs="Times New Roman Regular"/>
          <w:b/>
          <w:bCs/>
          <w:sz w:val="20"/>
          <w:szCs w:val="20"/>
          <w:lang w:val="en-US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0"/>
          <w:szCs w:val="20"/>
        </w:rPr>
        <w:t>PBL Progress Report – I</w:t>
      </w:r>
      <w:r>
        <w:rPr>
          <w:rFonts w:hint="default" w:ascii="Times New Roman Regular" w:hAnsi="Times New Roman Regular" w:eastAsia="Times New Roman" w:cs="Times New Roman Regular"/>
          <w:b/>
          <w:bCs/>
          <w:sz w:val="20"/>
          <w:szCs w:val="20"/>
          <w:lang w:val="en-US"/>
        </w:rPr>
        <w:t>I</w:t>
      </w:r>
    </w:p>
    <w:tbl>
      <w:tblPr>
        <w:tblStyle w:val="5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9"/>
        <w:gridCol w:w="5317"/>
      </w:tblGrid>
      <w:tr w14:paraId="0F02DBD3">
        <w:trPr>
          <w:trHeight w:val="300" w:hRule="atLeast"/>
        </w:trPr>
        <w:tc>
          <w:tcPr>
            <w:tcW w:w="4259" w:type="dxa"/>
            <w:vAlign w:val="center"/>
          </w:tcPr>
          <w:p w14:paraId="2D850A99">
            <w:pPr>
              <w:spacing w:after="0"/>
              <w:jc w:val="center"/>
              <w:rPr>
                <w:rFonts w:hint="default" w:ascii="Times New Roman Regular" w:hAnsi="Times New Roman Regular" w:eastAsia="Times New Roman" w:cs="Times New Roman Regular"/>
                <w:b/>
                <w:bCs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5317" w:type="dxa"/>
            <w:vAlign w:val="center"/>
          </w:tcPr>
          <w:p w14:paraId="7047E117">
            <w:pPr>
              <w:spacing w:after="0"/>
              <w:jc w:val="center"/>
              <w:rPr>
                <w:rFonts w:hint="default" w:ascii="Times New Roman Regular" w:hAnsi="Times New Roman Regular" w:eastAsia="Times New Roman" w:cs="Times New Roman Regular"/>
                <w:b/>
                <w:bCs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sz w:val="20"/>
                <w:szCs w:val="20"/>
              </w:rPr>
              <w:t>Details</w:t>
            </w:r>
          </w:p>
        </w:tc>
      </w:tr>
      <w:tr w14:paraId="5FD9DAC3">
        <w:trPr>
          <w:trHeight w:val="300" w:hRule="atLeast"/>
        </w:trPr>
        <w:tc>
          <w:tcPr>
            <w:tcW w:w="4259" w:type="dxa"/>
            <w:vAlign w:val="center"/>
          </w:tcPr>
          <w:p w14:paraId="61840A9D">
            <w:pPr>
              <w:spacing w:after="0"/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  <w:t>Course Name</w:t>
            </w:r>
          </w:p>
        </w:tc>
        <w:tc>
          <w:tcPr>
            <w:tcW w:w="5317" w:type="dxa"/>
            <w:vAlign w:val="center"/>
          </w:tcPr>
          <w:p w14:paraId="4AB39C6E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Computer Architecture &amp; Parallel Processing</w:t>
            </w:r>
          </w:p>
        </w:tc>
      </w:tr>
      <w:tr w14:paraId="283DE7CC">
        <w:trPr>
          <w:trHeight w:val="300" w:hRule="atLeast"/>
        </w:trPr>
        <w:tc>
          <w:tcPr>
            <w:tcW w:w="4259" w:type="dxa"/>
            <w:vAlign w:val="center"/>
          </w:tcPr>
          <w:p w14:paraId="4FB50F88">
            <w:pPr>
              <w:spacing w:after="0"/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  <w:t>Course Code</w:t>
            </w:r>
          </w:p>
        </w:tc>
        <w:tc>
          <w:tcPr>
            <w:tcW w:w="5317" w:type="dxa"/>
            <w:vAlign w:val="center"/>
          </w:tcPr>
          <w:p w14:paraId="2ADF855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CCSE 0304</w:t>
            </w:r>
          </w:p>
        </w:tc>
      </w:tr>
      <w:tr w14:paraId="272BE596">
        <w:trPr>
          <w:trHeight w:val="300" w:hRule="atLeast"/>
        </w:trPr>
        <w:tc>
          <w:tcPr>
            <w:tcW w:w="4259" w:type="dxa"/>
            <w:vAlign w:val="center"/>
          </w:tcPr>
          <w:p w14:paraId="7C65667F">
            <w:pPr>
              <w:spacing w:after="0"/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  <w:t>Faculty Name</w:t>
            </w:r>
          </w:p>
        </w:tc>
        <w:tc>
          <w:tcPr>
            <w:tcW w:w="5317" w:type="dxa"/>
            <w:vAlign w:val="center"/>
          </w:tcPr>
          <w:p w14:paraId="131B575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Dr. AMRITA BHATNAGAR </w:t>
            </w:r>
          </w:p>
        </w:tc>
      </w:tr>
      <w:tr w14:paraId="690912DB">
        <w:trPr>
          <w:trHeight w:val="300" w:hRule="atLeast"/>
        </w:trPr>
        <w:tc>
          <w:tcPr>
            <w:tcW w:w="4259" w:type="dxa"/>
            <w:vAlign w:val="center"/>
          </w:tcPr>
          <w:p w14:paraId="5A477CFC">
            <w:pPr>
              <w:spacing w:after="0"/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  <w:t>Assignment Type</w:t>
            </w:r>
          </w:p>
        </w:tc>
        <w:tc>
          <w:tcPr>
            <w:tcW w:w="5317" w:type="dxa"/>
            <w:vAlign w:val="center"/>
          </w:tcPr>
          <w:p w14:paraId="16567DFB">
            <w:pPr>
              <w:spacing w:after="0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Group Assignment</w:t>
            </w:r>
          </w:p>
        </w:tc>
      </w:tr>
      <w:tr w14:paraId="6CCACAC3">
        <w:trPr>
          <w:trHeight w:val="300" w:hRule="atLeast"/>
        </w:trPr>
        <w:tc>
          <w:tcPr>
            <w:tcW w:w="4259" w:type="dxa"/>
            <w:vAlign w:val="center"/>
          </w:tcPr>
          <w:p w14:paraId="28E66C46">
            <w:pPr>
              <w:spacing w:after="0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Student(s) Name</w:t>
            </w:r>
          </w:p>
        </w:tc>
        <w:tc>
          <w:tcPr>
            <w:tcW w:w="5317" w:type="dxa"/>
            <w:vAlign w:val="center"/>
          </w:tcPr>
          <w:p w14:paraId="039834BF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425" w:leftChars="0" w:right="0" w:hanging="425" w:firstLineChars="0"/>
              <w:jc w:val="left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Akshya Gupta</w:t>
            </w:r>
          </w:p>
          <w:p w14:paraId="71D32188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425" w:leftChars="0" w:right="0" w:hanging="425" w:firstLineChars="0"/>
              <w:jc w:val="left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Anshika Verma</w:t>
            </w:r>
          </w:p>
          <w:p w14:paraId="3140804C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425" w:leftChars="0" w:right="0" w:hanging="425" w:firstLineChars="0"/>
              <w:jc w:val="left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Priyanshu Rai</w:t>
            </w:r>
          </w:p>
          <w:p w14:paraId="1A4BB50B">
            <w:pPr>
              <w:pStyle w:val="6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425" w:leftChars="0" w:right="0" w:hanging="425" w:firstLineChars="0"/>
              <w:jc w:val="left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Kajal Tiwari</w:t>
            </w:r>
          </w:p>
        </w:tc>
      </w:tr>
      <w:tr w14:paraId="3085B8BB">
        <w:trPr>
          <w:trHeight w:val="300" w:hRule="atLeast"/>
        </w:trPr>
        <w:tc>
          <w:tcPr>
            <w:tcW w:w="4259" w:type="dxa"/>
            <w:vAlign w:val="center"/>
          </w:tcPr>
          <w:p w14:paraId="103307DE">
            <w:pPr>
              <w:spacing w:after="0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>ERP ID (I Year) / Roll No. (II Year onwards)</w:t>
            </w:r>
          </w:p>
        </w:tc>
        <w:tc>
          <w:tcPr>
            <w:tcW w:w="5317" w:type="dxa"/>
            <w:vAlign w:val="center"/>
          </w:tcPr>
          <w:p w14:paraId="216F0BFE">
            <w:pPr>
              <w:pStyle w:val="6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spacing w:before="0" w:beforeAutospacing="0" w:after="0" w:afterAutospacing="0"/>
              <w:ind w:left="425" w:leftChars="0" w:right="0" w:rightChars="0" w:hanging="425" w:firstLineChars="0"/>
              <w:jc w:val="left"/>
              <w:rPr>
                <w:rFonts w:hint="default" w:ascii="Times New Roman Regular" w:hAnsi="Times New Roman Regular" w:cs="Times New Roman Regular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2501331930010</w:t>
            </w:r>
          </w:p>
          <w:p w14:paraId="3E85BC97">
            <w:pPr>
              <w:pStyle w:val="6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spacing w:before="0" w:beforeAutospacing="0" w:after="0" w:afterAutospacing="0"/>
              <w:ind w:left="425" w:leftChars="0" w:right="0" w:rightChars="0" w:hanging="425" w:firstLineChars="0"/>
              <w:jc w:val="left"/>
              <w:rPr>
                <w:rFonts w:hint="default" w:ascii="Times New Roman Regular" w:hAnsi="Times New Roman Regular" w:cs="Times New Roman Regular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2501331930014</w:t>
            </w:r>
          </w:p>
          <w:p w14:paraId="38A5A78A">
            <w:pPr>
              <w:pStyle w:val="6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spacing w:before="0" w:beforeAutospacing="0" w:after="0" w:afterAutospacing="0"/>
              <w:ind w:left="425" w:leftChars="0" w:right="0" w:rightChars="0" w:hanging="425" w:firstLineChars="0"/>
              <w:jc w:val="left"/>
              <w:rPr>
                <w:rFonts w:hint="default" w:ascii="Times New Roman Regular" w:hAnsi="Times New Roman Regular" w:cs="Times New Roman Regular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2501331930030</w:t>
            </w:r>
          </w:p>
          <w:p w14:paraId="0131B304">
            <w:pPr>
              <w:pStyle w:val="6"/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425"/>
              </w:tabs>
              <w:spacing w:before="0" w:beforeAutospacing="0" w:after="0" w:afterAutospacing="0"/>
              <w:ind w:left="425" w:leftChars="0" w:right="0" w:rightChars="0" w:hanging="425" w:firstLineChars="0"/>
              <w:jc w:val="left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2501331930038      ALL 2</w:t>
            </w: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vertAlign w:val="superscript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ND</w:t>
            </w: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YEAR </w:t>
            </w:r>
          </w:p>
        </w:tc>
      </w:tr>
      <w:tr w14:paraId="65F5DCB2">
        <w:trPr>
          <w:trHeight w:val="300" w:hRule="atLeast"/>
        </w:trPr>
        <w:tc>
          <w:tcPr>
            <w:tcW w:w="4259" w:type="dxa"/>
            <w:vAlign w:val="center"/>
          </w:tcPr>
          <w:p w14:paraId="19FCB49B">
            <w:pPr>
              <w:spacing w:after="0"/>
              <w:rPr>
                <w:rFonts w:hint="default" w:ascii="Times New Roman Regular" w:hAnsi="Times New Roman Regular" w:eastAsia="Times New Roman" w:cs="Times New Roman Regular"/>
                <w:i/>
                <w:iCs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  <w:t xml:space="preserve">Team/Group No. </w:t>
            </w:r>
            <w:r>
              <w:rPr>
                <w:rFonts w:hint="default" w:ascii="Times New Roman Regular" w:hAnsi="Times New Roman Regular" w:eastAsia="Times New Roman" w:cs="Times New Roman Regular"/>
                <w:i/>
                <w:iCs/>
                <w:sz w:val="20"/>
                <w:szCs w:val="20"/>
              </w:rPr>
              <w:t>(Group/Capstone only)</w:t>
            </w:r>
          </w:p>
        </w:tc>
        <w:tc>
          <w:tcPr>
            <w:tcW w:w="5317" w:type="dxa"/>
            <w:vAlign w:val="center"/>
          </w:tcPr>
          <w:p w14:paraId="5128543A">
            <w:pPr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GROUP - 02</w:t>
            </w:r>
          </w:p>
        </w:tc>
      </w:tr>
      <w:tr w14:paraId="130A9971">
        <w:trPr>
          <w:trHeight w:val="300" w:hRule="atLeast"/>
        </w:trPr>
        <w:tc>
          <w:tcPr>
            <w:tcW w:w="4259" w:type="dxa"/>
            <w:vAlign w:val="center"/>
          </w:tcPr>
          <w:p w14:paraId="2EEDAA7F">
            <w:pPr>
              <w:spacing w:after="0"/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  <w:t>Problem Statement / Project Title</w:t>
            </w:r>
          </w:p>
        </w:tc>
        <w:tc>
          <w:tcPr>
            <w:tcW w:w="5317" w:type="dxa"/>
            <w:vAlign w:val="center"/>
          </w:tcPr>
          <w:p w14:paraId="0BEF179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Topic 84: Integrated Smart City Computing Framework</w:t>
            </w:r>
          </w:p>
        </w:tc>
      </w:tr>
      <w:tr w14:paraId="4616EC22">
        <w:trPr>
          <w:trHeight w:val="300" w:hRule="atLeast"/>
        </w:trPr>
        <w:tc>
          <w:tcPr>
            <w:tcW w:w="4259" w:type="dxa"/>
            <w:vAlign w:val="center"/>
          </w:tcPr>
          <w:p w14:paraId="1CAB3E53">
            <w:pPr>
              <w:spacing w:after="0"/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  <w:t>SDG(s)</w:t>
            </w:r>
          </w:p>
        </w:tc>
        <w:tc>
          <w:tcPr>
            <w:tcW w:w="5317" w:type="dxa"/>
            <w:vAlign w:val="center"/>
          </w:tcPr>
          <w:p w14:paraId="341DDC1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SDG 11: Sustainable Cities and Communities</w:t>
            </w:r>
          </w:p>
        </w:tc>
      </w:tr>
      <w:tr w14:paraId="6B6FF92F">
        <w:trPr>
          <w:trHeight w:val="300" w:hRule="atLeast"/>
        </w:trPr>
        <w:tc>
          <w:tcPr>
            <w:tcW w:w="4259" w:type="dxa"/>
            <w:vAlign w:val="center"/>
          </w:tcPr>
          <w:p w14:paraId="3FA1F49B">
            <w:pPr>
              <w:spacing w:after="0"/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  <w:t>Reporting Month</w:t>
            </w:r>
          </w:p>
        </w:tc>
        <w:tc>
          <w:tcPr>
            <w:tcW w:w="5317" w:type="dxa"/>
            <w:vAlign w:val="center"/>
          </w:tcPr>
          <w:p w14:paraId="7749961D">
            <w:pPr>
              <w:spacing w:after="0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  <w:t xml:space="preserve">Month </w:t>
            </w:r>
            <w:r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</w:tr>
      <w:tr w14:paraId="363B3C53">
        <w:trPr>
          <w:trHeight w:val="300" w:hRule="atLeast"/>
        </w:trPr>
        <w:tc>
          <w:tcPr>
            <w:tcW w:w="4259" w:type="dxa"/>
            <w:vAlign w:val="center"/>
          </w:tcPr>
          <w:p w14:paraId="42C68174">
            <w:pPr>
              <w:spacing w:after="0"/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sz w:val="20"/>
                <w:szCs w:val="20"/>
              </w:rPr>
              <w:t>Date of Submission</w:t>
            </w:r>
          </w:p>
        </w:tc>
        <w:tc>
          <w:tcPr>
            <w:tcW w:w="5317" w:type="dxa"/>
            <w:vAlign w:val="center"/>
          </w:tcPr>
          <w:p w14:paraId="3A25E1A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000000" w:themeColor="text1"/>
                <w:sz w:val="20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000000" w:themeColor="text1"/>
                <w:kern w:val="0"/>
                <w:sz w:val="20"/>
                <w:szCs w:val="20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08 OCTOBER 2026</w:t>
            </w:r>
          </w:p>
        </w:tc>
      </w:tr>
    </w:tbl>
    <w:p w14:paraId="2B393710">
      <w:pPr>
        <w:pStyle w:val="3"/>
        <w:spacing w:before="281" w:after="281"/>
        <w:rPr>
          <w:rFonts w:hint="default" w:ascii="Times New Roman Regular" w:hAnsi="Times New Roman Regular" w:eastAsia="Times New Roman" w:cs="Times New Roman Regular"/>
          <w:b/>
          <w:bCs/>
          <w:color w:val="auto"/>
          <w:sz w:val="20"/>
          <w:szCs w:val="20"/>
        </w:rPr>
      </w:pPr>
    </w:p>
    <w:p w14:paraId="3A3057C6">
      <w:pPr>
        <w:pStyle w:val="3"/>
        <w:spacing w:before="281" w:after="281"/>
        <w:rPr>
          <w:rFonts w:hint="default" w:ascii="Times New Roman Regular" w:hAnsi="Times New Roman Regular" w:eastAsia="Times New Roman" w:cs="Times New Roman Regular"/>
          <w:b/>
          <w:bCs/>
          <w:color w:val="auto"/>
          <w:sz w:val="20"/>
          <w:szCs w:val="20"/>
        </w:rPr>
      </w:pPr>
      <w:bookmarkStart w:id="0" w:name="_GoBack"/>
      <w:bookmarkEnd w:id="0"/>
    </w:p>
    <w:p w14:paraId="72308838">
      <w:pPr>
        <w:pStyle w:val="3"/>
        <w:spacing w:before="281" w:after="281"/>
        <w:rPr>
          <w:rFonts w:hint="default" w:ascii="Times New Roman Regular" w:hAnsi="Times New Roman Regular" w:eastAsia="Times New Roman" w:cs="Times New Roman Regular"/>
          <w:b/>
          <w:bCs/>
          <w:color w:val="auto"/>
          <w:sz w:val="20"/>
          <w:szCs w:val="20"/>
        </w:rPr>
      </w:pPr>
    </w:p>
    <w:p w14:paraId="478009E0">
      <w:pPr>
        <w:pStyle w:val="3"/>
        <w:spacing w:before="281" w:after="281"/>
        <w:rPr>
          <w:rFonts w:hint="default" w:ascii="Times New Roman Regular" w:hAnsi="Times New Roman Regular" w:eastAsia="Times New Roman" w:cs="Times New Roman Regular"/>
          <w:b/>
          <w:bCs/>
          <w:color w:val="auto"/>
          <w:sz w:val="20"/>
          <w:szCs w:val="20"/>
        </w:rPr>
      </w:pPr>
    </w:p>
    <w:p w14:paraId="48611F3B">
      <w:pPr>
        <w:pStyle w:val="3"/>
        <w:spacing w:before="281" w:after="281"/>
        <w:rPr>
          <w:rFonts w:hint="default" w:ascii="Times New Roman Regular" w:hAnsi="Times New Roman Regular" w:eastAsia="Times New Roman" w:cs="Times New Roman Regular"/>
          <w:b/>
          <w:bCs/>
          <w:color w:val="auto"/>
          <w:sz w:val="20"/>
          <w:szCs w:val="20"/>
        </w:rPr>
      </w:pPr>
    </w:p>
    <w:p w14:paraId="734001DA">
      <w:pPr>
        <w:pStyle w:val="3"/>
        <w:spacing w:before="281" w:after="281"/>
        <w:rPr>
          <w:rFonts w:hint="default" w:ascii="Times New Roman Regular" w:hAnsi="Times New Roman Regular" w:eastAsia="Times New Roman" w:cs="Times New Roman Regular"/>
          <w:b/>
          <w:bCs/>
          <w:color w:val="auto"/>
          <w:sz w:val="20"/>
          <w:szCs w:val="20"/>
        </w:rPr>
      </w:pPr>
    </w:p>
    <w:p w14:paraId="1AECCA3B">
      <w:pPr>
        <w:rPr>
          <w:rFonts w:hint="default"/>
        </w:rPr>
      </w:pPr>
    </w:p>
    <w:p w14:paraId="5998F85A">
      <w:pPr>
        <w:pStyle w:val="3"/>
        <w:spacing w:before="281" w:after="281"/>
        <w:rPr>
          <w:rFonts w:hint="default" w:ascii="Times New Roman Regular" w:hAnsi="Times New Roman Regular" w:eastAsia="Times New Roman" w:cs="Times New Roman Regular"/>
          <w:b/>
          <w:bCs/>
          <w:color w:val="auto"/>
          <w:sz w:val="20"/>
          <w:szCs w:val="20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color w:val="auto"/>
          <w:sz w:val="20"/>
          <w:szCs w:val="20"/>
        </w:rPr>
        <w:t>Student Declaration</w:t>
      </w:r>
    </w:p>
    <w:p w14:paraId="500871C5">
      <w:pPr>
        <w:spacing w:before="240" w:after="240"/>
        <w:rPr>
          <w:rFonts w:hint="default" w:ascii="Times New Roman Regular" w:hAnsi="Times New Roman Regular" w:eastAsia="Times New Roman" w:cs="Times New Roman Regular"/>
          <w:sz w:val="20"/>
          <w:szCs w:val="20"/>
        </w:rPr>
      </w:pPr>
      <w:r>
        <w:rPr>
          <w:rFonts w:hint="default" w:ascii="Times New Roman Regular" w:hAnsi="Times New Roman Regular" w:eastAsia="Times New Roman" w:cs="Times New Roman Regular"/>
          <w:sz w:val="20"/>
          <w:szCs w:val="20"/>
        </w:rPr>
        <w:t>I/</w:t>
      </w:r>
      <w:r>
        <w:rPr>
          <w:rFonts w:hint="default" w:ascii="Times New Roman Bold" w:hAnsi="Times New Roman Bold" w:eastAsia="Times New Roman" w:cs="Times New Roman Bold"/>
          <w:b/>
          <w:bCs/>
          <w:sz w:val="20"/>
          <w:szCs w:val="20"/>
        </w:rPr>
        <w:t xml:space="preserve">We </w:t>
      </w:r>
      <w:r>
        <w:rPr>
          <w:rFonts w:hint="default" w:ascii="Times New Roman Regular" w:hAnsi="Times New Roman Regular" w:eastAsia="Times New Roman" w:cs="Times New Roman Regular"/>
          <w:sz w:val="20"/>
          <w:szCs w:val="20"/>
        </w:rPr>
        <w:t>certify that this assignment is my/our own work, with all sources appropriately acknowledged. I/</w:t>
      </w:r>
      <w:r>
        <w:rPr>
          <w:rFonts w:hint="default" w:ascii="Times New Roman Bold" w:hAnsi="Times New Roman Bold" w:eastAsia="Times New Roman" w:cs="Times New Roman Bold"/>
          <w:b/>
          <w:bCs/>
          <w:sz w:val="20"/>
          <w:szCs w:val="20"/>
        </w:rPr>
        <w:t xml:space="preserve">We </w:t>
      </w:r>
      <w:r>
        <w:rPr>
          <w:rFonts w:hint="default" w:ascii="Times New Roman Regular" w:hAnsi="Times New Roman Regular" w:eastAsia="Times New Roman" w:cs="Times New Roman Regular"/>
          <w:sz w:val="20"/>
          <w:szCs w:val="20"/>
        </w:rPr>
        <w:t>understand that a 0% mark and further academic penalties may apply if the content is found to be plagiarised or inappropriately AI-generated.</w:t>
      </w:r>
    </w:p>
    <w:p w14:paraId="1E2F37E3">
      <w:pPr>
        <w:spacing w:before="240" w:after="240"/>
        <w:rPr>
          <w:rFonts w:hint="default" w:ascii="Times New Roman Regular" w:hAnsi="Times New Roman Regular" w:cs="Times New Roman Regular"/>
          <w:sz w:val="20"/>
          <w:szCs w:val="20"/>
          <w:lang w:val="en-US"/>
        </w:rPr>
      </w:pPr>
      <w:r>
        <w:rPr>
          <w:rFonts w:hint="default" w:ascii="Times New Roman Regular" w:hAnsi="Times New Roman Regular" w:eastAsia="Times New Roman" w:cs="Times New Roman Regular"/>
          <w:b/>
          <w:bCs/>
          <w:sz w:val="20"/>
          <w:szCs w:val="20"/>
        </w:rPr>
        <w:t>Student Name &amp; Signature(s):</w:t>
      </w:r>
      <w:r>
        <w:rPr>
          <w:rFonts w:hint="default" w:ascii="Times New Roman Regular" w:hAnsi="Times New Roman Regular" w:eastAsia="Times New Roman" w:cs="Times New Roman Regular"/>
          <w:sz w:val="20"/>
          <w:szCs w:val="20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sz w:val="20"/>
          <w:szCs w:val="20"/>
          <w:lang w:val="en-US"/>
        </w:rPr>
        <w:t xml:space="preserve">     </w:t>
      </w:r>
      <w:r>
        <w:rPr>
          <w:rFonts w:hint="default" w:ascii="Times New Roman Regular" w:hAnsi="Times New Roman Regular" w:eastAsia="Times New Roman" w:cs="Times New Roman Regular"/>
          <w:b/>
          <w:bCs/>
          <w:sz w:val="20"/>
          <w:szCs w:val="20"/>
          <w:lang w:val="en-US"/>
        </w:rPr>
        <w:t>AKSHYA GUPTA</w:t>
      </w:r>
      <w:r>
        <w:rPr>
          <w:rFonts w:hint="default" w:ascii="Times New Roman Regular" w:hAnsi="Times New Roman Regular" w:eastAsia="Times New Roman" w:cs="Times New Roman Regular"/>
          <w:sz w:val="20"/>
          <w:szCs w:val="20"/>
          <w:lang w:val="en-US"/>
        </w:rPr>
        <w:t xml:space="preserve">         </w:t>
      </w:r>
      <w:r>
        <w:rPr>
          <w:rFonts w:hint="default" w:ascii="Times New Roman Regular" w:hAnsi="Times New Roman Regular" w:cs="Times New Roman Regular"/>
          <w:sz w:val="20"/>
          <w:szCs w:val="20"/>
        </w:rPr>
        <w:drawing>
          <wp:inline distT="0" distB="0" distL="114300" distR="114300">
            <wp:extent cx="866775" cy="951230"/>
            <wp:effectExtent l="0" t="0" r="22225" b="13970"/>
            <wp:docPr id="1" name="Picture 1" descr="My N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y N signature"/>
                    <pic:cNvPicPr>
                      <a:picLocks noChangeAspect="1"/>
                    </pic:cNvPicPr>
                  </pic:nvPicPr>
                  <pic:blipFill>
                    <a:blip r:embed="rId7"/>
                    <a:srcRect l="21652" t="32708" r="43807" b="49877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  </w:t>
      </w:r>
    </w:p>
    <w:p w14:paraId="02BE747D">
      <w:pPr>
        <w:spacing w:before="240" w:after="240"/>
        <w:ind w:firstLine="2903" w:firstLineChars="1450"/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 xml:space="preserve">ANSHIKA VERMA      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drawing>
          <wp:inline distT="0" distB="0" distL="114300" distR="114300">
            <wp:extent cx="530860" cy="299720"/>
            <wp:effectExtent l="0" t="0" r="2540" b="5080"/>
            <wp:docPr id="2" name="Picture 2" descr="aashi. 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ashi. sig"/>
                    <pic:cNvPicPr>
                      <a:picLocks noChangeAspect="1"/>
                    </pic:cNvPicPr>
                  </pic:nvPicPr>
                  <pic:blipFill>
                    <a:blip r:embed="rId8"/>
                    <a:srcRect l="22784" t="28812" r="40197" b="61559"/>
                    <a:stretch>
                      <a:fillRect/>
                    </a:stretch>
                  </pic:blipFill>
                  <pic:spPr>
                    <a:xfrm>
                      <a:off x="0" y="0"/>
                      <a:ext cx="53086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4A33">
      <w:pPr>
        <w:spacing w:before="240" w:after="240"/>
        <w:ind w:firstLine="2903" w:firstLineChars="1450"/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 xml:space="preserve">KAJAL TIWARI           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drawing>
          <wp:inline distT="0" distB="0" distL="114300" distR="114300">
            <wp:extent cx="688340" cy="309245"/>
            <wp:effectExtent l="0" t="0" r="22860" b="20955"/>
            <wp:docPr id="3" name="Picture 3" descr="kaju 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kaju sig"/>
                    <pic:cNvPicPr>
                      <a:picLocks noChangeAspect="1"/>
                    </pic:cNvPicPr>
                  </pic:nvPicPr>
                  <pic:blipFill>
                    <a:blip r:embed="rId9"/>
                    <a:srcRect l="20709" t="18738" r="50357" b="73958"/>
                    <a:stretch>
                      <a:fillRect/>
                    </a:stretch>
                  </pic:blipFill>
                  <pic:spPr>
                    <a:xfrm>
                      <a:off x="0" y="0"/>
                      <a:ext cx="68834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02E3">
      <w:pPr>
        <w:spacing w:before="240" w:after="240"/>
        <w:ind w:firstLine="2903" w:firstLineChars="1450"/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 xml:space="preserve">PRIYANSHU RAI        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drawing>
          <wp:inline distT="0" distB="0" distL="114300" distR="114300">
            <wp:extent cx="267335" cy="814070"/>
            <wp:effectExtent l="0" t="0" r="24130" b="12065"/>
            <wp:docPr id="4" name="Picture 4" descr="PRIYANSHU RAI 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RIYANSHU RAI SIGN"/>
                    <pic:cNvPicPr>
                      <a:picLocks noChangeAspect="1"/>
                    </pic:cNvPicPr>
                  </pic:nvPicPr>
                  <pic:blipFill>
                    <a:blip r:embed="rId10"/>
                    <a:srcRect l="39450" t="17087" r="22870" b="18559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6733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572E">
      <w:pPr>
        <w:spacing w:before="240" w:after="240"/>
        <w:ind w:firstLine="2903" w:firstLineChars="1450"/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</w:pPr>
    </w:p>
    <w:p w14:paraId="6A1D6D4A">
      <w:pPr>
        <w:spacing w:before="240" w:after="240"/>
        <w:rPr>
          <w:rFonts w:hint="default" w:ascii="Times New Roman Regular" w:hAnsi="Times New Roman Regular" w:eastAsia="Times New Roman" w:cs="Times New Roman Regular"/>
          <w:sz w:val="20"/>
          <w:szCs w:val="20"/>
          <w:lang w:val="en-US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 xml:space="preserve"> </w:t>
      </w:r>
      <w:r>
        <w:rPr>
          <w:rFonts w:hint="default" w:ascii="Times New Roman Bold" w:hAnsi="Times New Roman Bold" w:eastAsia="Times New Roman" w:cs="Times New Roman Bold"/>
          <w:b/>
          <w:bCs/>
          <w:sz w:val="20"/>
          <w:szCs w:val="20"/>
        </w:rPr>
        <w:t>Date:</w:t>
      </w:r>
      <w:r>
        <w:rPr>
          <w:rFonts w:hint="default" w:ascii="Times New Roman Bold" w:hAnsi="Times New Roman Bold" w:eastAsia="Times New Roman" w:cs="Times New Roman Bold"/>
          <w:b/>
          <w:bCs/>
          <w:sz w:val="20"/>
          <w:szCs w:val="20"/>
          <w:lang w:val="en-US"/>
        </w:rPr>
        <w:t xml:space="preserve">   08 OCTOBER 2026</w:t>
      </w:r>
    </w:p>
    <w:p w14:paraId="48CB8F90">
      <w:pPr>
        <w:rPr>
          <w:rFonts w:ascii="Times New Roman" w:hAnsi="Times New Roman" w:eastAsia="Times New Roman" w:cs="Times New Roman"/>
        </w:rPr>
      </w:pPr>
    </w:p>
    <w:p w14:paraId="2B5648B7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16A24D8A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6310F193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726378CC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3E8041A7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501CA52E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468360D2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00C2B20B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69ECD8EC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1E094B5F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7187F9AD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4AA7B494">
      <w:pPr>
        <w:jc w:val="center"/>
        <w:rPr>
          <w:rFonts w:ascii="Times New Roman" w:hAnsi="Times New Roman" w:eastAsia="Times New Roman" w:cs="Times New Roman"/>
          <w:b/>
          <w:bCs/>
        </w:rPr>
      </w:pPr>
    </w:p>
    <w:p w14:paraId="6CF19107">
      <w:pPr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PBL Progress Report – II</w:t>
      </w:r>
    </w:p>
    <w:p w14:paraId="622694E3">
      <w:pPr>
        <w:pStyle w:val="3"/>
        <w:spacing w:before="281" w:after="281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Review 2: Development &amp; Application</w:t>
      </w:r>
    </w:p>
    <w:p w14:paraId="0EF3BF56">
      <w:pPr>
        <w:spacing w:before="240" w:after="2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Review Coverage:</w:t>
      </w:r>
    </w:p>
    <w:p w14:paraId="39C61646">
      <w:pPr>
        <w:pStyle w:val="9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Individual / Group Assignment:</w:t>
      </w:r>
      <w:r>
        <w:rPr>
          <w:rFonts w:ascii="Times New Roman" w:hAnsi="Times New Roman" w:eastAsia="Times New Roman" w:cs="Times New Roman"/>
        </w:rPr>
        <w:t xml:space="preserve"> Unit/Module 3 and Unit/Module 4 </w:t>
      </w:r>
    </w:p>
    <w:p w14:paraId="609B96FE">
      <w:pPr>
        <w:pStyle w:val="9"/>
        <w:numPr>
          <w:ilvl w:val="0"/>
          <w:numId w:val="3"/>
        </w:numPr>
        <w:spacing w:after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Capstone Project:</w:t>
      </w:r>
      <w:r>
        <w:rPr>
          <w:rFonts w:ascii="Times New Roman" w:hAnsi="Times New Roman" w:eastAsia="Times New Roman" w:cs="Times New Roman"/>
        </w:rPr>
        <w:t xml:space="preserve"> Rubric Categories 3 and 4 </w:t>
      </w:r>
    </w:p>
    <w:p w14:paraId="293B5985">
      <w:pPr>
        <w:pStyle w:val="9"/>
        <w:spacing w:after="0"/>
        <w:rPr>
          <w:rFonts w:ascii="Times New Roman" w:hAnsi="Times New Roman" w:eastAsia="Times New Roman" w:cs="Times New Roman"/>
        </w:rPr>
      </w:pPr>
    </w:p>
    <w:tbl>
      <w:tblPr>
        <w:tblStyle w:val="5"/>
        <w:tblW w:w="0" w:type="auto"/>
        <w:tblInd w:w="0" w:type="dxa"/>
        <w:tblBorders>
          <w:top w:val="single" w:color="000000" w:themeColor="text1" w:sz="2" w:space="0"/>
          <w:left w:val="single" w:color="000000" w:themeColor="text1" w:sz="2" w:space="0"/>
          <w:bottom w:val="single" w:color="000000" w:themeColor="text1" w:sz="2" w:space="0"/>
          <w:right w:val="single" w:color="000000" w:themeColor="text1" w:sz="2" w:space="0"/>
          <w:insideH w:val="single" w:color="000000" w:themeColor="text1" w:sz="2" w:space="0"/>
          <w:insideV w:val="single" w:color="000000" w:themeColor="text1" w:sz="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7835"/>
      </w:tblGrid>
      <w:tr w14:paraId="1CDC9A8E">
        <w:trPr>
          <w:trHeight w:val="300" w:hRule="atLeast"/>
        </w:trPr>
        <w:tc>
          <w:tcPr>
            <w:tcW w:w="1103" w:type="dxa"/>
            <w:vAlign w:val="center"/>
          </w:tcPr>
          <w:p w14:paraId="64898C38">
            <w:pPr>
              <w:spacing w:after="0"/>
              <w:jc w:val="center"/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  <w:t>Field</w:t>
            </w:r>
          </w:p>
        </w:tc>
        <w:tc>
          <w:tcPr>
            <w:tcW w:w="7835" w:type="dxa"/>
            <w:vAlign w:val="center"/>
          </w:tcPr>
          <w:p w14:paraId="1D6F2658">
            <w:pPr>
              <w:spacing w:after="0"/>
              <w:jc w:val="center"/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  <w:t>Details</w:t>
            </w:r>
          </w:p>
        </w:tc>
      </w:tr>
      <w:tr w14:paraId="1DE86C44">
        <w:trPr>
          <w:trHeight w:val="300" w:hRule="atLeast"/>
        </w:trPr>
        <w:tc>
          <w:tcPr>
            <w:tcW w:w="1103" w:type="dxa"/>
            <w:vAlign w:val="center"/>
          </w:tcPr>
          <w:p w14:paraId="0FC26EA1">
            <w:pPr>
              <w:spacing w:after="0"/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  <w:t>1. Previous Review Feedback</w:t>
            </w:r>
          </w:p>
        </w:tc>
        <w:tc>
          <w:tcPr>
            <w:tcW w:w="7835" w:type="dxa"/>
            <w:vAlign w:val="center"/>
          </w:tcPr>
          <w:p w14:paraId="2747721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Review 1 approved the bus arbiter and Booth's ALU. The faculty instructed the team to provide concrete simulation evidence of:</w:t>
            </w:r>
          </w:p>
          <w:p w14:paraId="1262294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Zero-stall instruction pipeline execution during recurring sensor loops.</w:t>
            </w:r>
          </w:p>
          <w:p w14:paraId="4EF124D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Cache coherence state transitions to prevent dirty reads across municipal data streams.</w:t>
            </w:r>
          </w:p>
          <w:p w14:paraId="747123B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</w:p>
        </w:tc>
      </w:tr>
      <w:tr w14:paraId="3A26F302">
        <w:trPr>
          <w:trHeight w:val="300" w:hRule="atLeast"/>
        </w:trPr>
        <w:tc>
          <w:tcPr>
            <w:tcW w:w="1103" w:type="dxa"/>
            <w:vAlign w:val="center"/>
          </w:tcPr>
          <w:p w14:paraId="60AF072F">
            <w:pPr>
              <w:spacing w:after="0"/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  <w:t>2. Action Taken on Previous Feedback</w:t>
            </w:r>
          </w:p>
        </w:tc>
        <w:tc>
          <w:tcPr>
            <w:tcW w:w="7835" w:type="dxa"/>
            <w:vAlign w:val="center"/>
          </w:tcPr>
          <w:p w14:paraId="143AF08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Built a cycle-accurate 5-stage RISC pipeline in `pipeline.py` with hardware operand forwarding.</w:t>
            </w:r>
          </w:p>
          <w:p w14:paraId="3EF33A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Built a 4-state MESI directory coherence engine in `cache_numa.py` to eliminate bus-snooping saturation.</w:t>
            </w:r>
          </w:p>
          <w:p w14:paraId="70063C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Verified all cycle behaviors using a native Python testbench (`main.py`) and an interactive GUI (`gui_dashboard.py`).</w:t>
            </w:r>
          </w:p>
        </w:tc>
      </w:tr>
      <w:tr w14:paraId="7E1069B1">
        <w:trPr>
          <w:trHeight w:val="300" w:hRule="atLeast"/>
        </w:trPr>
        <w:tc>
          <w:tcPr>
            <w:tcW w:w="1103" w:type="dxa"/>
            <w:vAlign w:val="center"/>
          </w:tcPr>
          <w:p w14:paraId="42E610C8">
            <w:pPr>
              <w:spacing w:after="0"/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  <w:t>3. Research / Data Collection Progress</w:t>
            </w:r>
          </w:p>
        </w:tc>
        <w:tc>
          <w:tcPr>
            <w:tcW w:w="7835" w:type="dxa"/>
            <w:vAlign w:val="center"/>
          </w:tcPr>
          <w:p w14:paraId="4A9F650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Hennessy &amp; Patterson (6th ed.):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Verified that EX-to-EX forwarding eliminates Read-After-Write (RAW) data stalls.</w:t>
            </w:r>
          </w:p>
          <w:p w14:paraId="09845D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Sorin, Hill, &amp; Wood: 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Confirmed that directory-based MESI protocols scale linearly without flooding shared interconnects.</w:t>
            </w:r>
          </w:p>
          <w:p w14:paraId="148CDFC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</w:t>
            </w: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Municipal Telemetry Profiling: 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Extracted streaming rates from traffic and utility sensors to construct realistic read/write test vectors.</w:t>
            </w:r>
          </w:p>
        </w:tc>
      </w:tr>
      <w:tr w14:paraId="42E2EDFC">
        <w:trPr>
          <w:trHeight w:val="300" w:hRule="atLeast"/>
        </w:trPr>
        <w:tc>
          <w:tcPr>
            <w:tcW w:w="1103" w:type="dxa"/>
            <w:vAlign w:val="center"/>
          </w:tcPr>
          <w:p w14:paraId="0FC5D0D0">
            <w:pPr>
              <w:spacing w:after="0"/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  <w:t>4. Unit/Module Concepts Applied</w:t>
            </w:r>
          </w:p>
        </w:tc>
        <w:tc>
          <w:tcPr>
            <w:tcW w:w="7835" w:type="dxa"/>
            <w:vAlign w:val="center"/>
          </w:tcPr>
          <w:p w14:paraId="5C5421A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Bold" w:hAnsi="Times New Roman Bold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Module 3: Control Unit &amp; Pipelining</w:t>
            </w:r>
          </w:p>
          <w:p w14:paraId="312AFE7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Classical 5-Stage RISC Pipeline: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Instruction Fetch (IF), Decode (ID), Execute (EX), Memory (MEM), Write-Back (WB).</w:t>
            </w:r>
          </w:p>
          <w:p w14:paraId="411A352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Hardware Forwarding Unit: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Resolves RAW data hazards by routing ALU results directly from EX/MEM back to EX.</w:t>
            </w:r>
          </w:p>
          <w:p w14:paraId="691B24F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Dynamic Branch Prediction: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2-bit saturating counter to prevent pipeline flushes during periodic sensor-polling loops.</w:t>
            </w:r>
          </w:p>
          <w:p w14:paraId="384450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Hardwired Control Logic: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Combinational logic prioritized for minimal single-cycle latency.</w:t>
            </w:r>
          </w:p>
          <w:p w14:paraId="49DAFE6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Bold" w:hAnsi="Times New Roman Bold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Module 4: Memory Hierarchy &amp; Cache Coherence</w:t>
            </w:r>
          </w:p>
          <w:p w14:paraId="373EAF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Split L1 Cache: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Separate 32 KB Instruction and 32 KB Data caches to eliminate structural memory hazards.</w:t>
            </w:r>
          </w:p>
          <w:p w14:paraId="18D0E1F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- 4-State MESI Protocol: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Modified (M), Exclusive (E), Shared (S), Invalid (I).</w:t>
            </w:r>
          </w:p>
          <w:p w14:paraId="3553D1F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Directory-Based Invalidation: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Tracks node sharers and invalidates stale caches point-to-point without bus broadcast storming.</w:t>
            </w:r>
          </w:p>
          <w:p w14:paraId="1035136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Latency Modeling: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1-cycle L1 local cache hit vs. multi-cycle remote memory fetches.</w:t>
            </w:r>
          </w:p>
        </w:tc>
      </w:tr>
      <w:tr w14:paraId="6DD0B2B0">
        <w:trPr>
          <w:trHeight w:val="300" w:hRule="atLeast"/>
        </w:trPr>
        <w:tc>
          <w:tcPr>
            <w:tcW w:w="1103" w:type="dxa"/>
            <w:vAlign w:val="center"/>
          </w:tcPr>
          <w:p w14:paraId="54EF7469">
            <w:pPr>
              <w:spacing w:after="0"/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  <w:t>5. Methodology / Approach Followed</w:t>
            </w:r>
          </w:p>
        </w:tc>
        <w:tc>
          <w:tcPr>
            <w:tcW w:w="7835" w:type="dxa"/>
            <w:vAlign w:val="center"/>
          </w:tcPr>
          <w:p w14:paraId="749C809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Step 1: Modeled the 5-stage RISC pipeline datapath and forwarding comparators in `pipeline.py`.</w:t>
            </w:r>
          </w:p>
          <w:p w14:paraId="697E245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Step 2: Implemented the directory tracking bitmask and MESI state-transition rules in `cache_numa.py`.</w:t>
            </w:r>
          </w:p>
          <w:p w14:paraId="66AD43D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Step 3: Integrated Modules 1–5 into `main.py` with a back-to-back dependency test (`LOAD` followed by dependent `ADD`).</w:t>
            </w:r>
          </w:p>
          <w:p w14:paraId="36E95DE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Step 4: Developed `gui_dashboard.py` (Tkinter) to inspect clock cycles, pipeline registers, and cache tags in real time.</w:t>
            </w:r>
          </w:p>
        </w:tc>
      </w:tr>
      <w:tr w14:paraId="28BA9BED">
        <w:trPr>
          <w:trHeight w:val="300" w:hRule="atLeast"/>
        </w:trPr>
        <w:tc>
          <w:tcPr>
            <w:tcW w:w="1103" w:type="dxa"/>
            <w:vAlign w:val="center"/>
          </w:tcPr>
          <w:p w14:paraId="49955611">
            <w:pPr>
              <w:spacing w:after="0"/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  <w:t>6. Work Completed During Month 2</w:t>
            </w:r>
          </w:p>
        </w:tc>
        <w:tc>
          <w:tcPr>
            <w:tcW w:w="7835" w:type="dxa"/>
            <w:vAlign w:val="center"/>
          </w:tcPr>
          <w:p w14:paraId="02A04EC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Fully coded and verified Modules 3 and 4 in Python.</w:t>
            </w:r>
          </w:p>
          <w:p w14:paraId="15DAA10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Confirmed zero stall bubbles during RAW hazard execution using EX-to-EX forwarding.</w:t>
            </w:r>
          </w:p>
          <w:p w14:paraId="436D03D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- Confirmed MESI transitions: 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Cold Read (I -&gt; E), Shared Read (E -&gt; S), Write (S -&gt; I across sharers, M on writer).</w:t>
            </w:r>
          </w:p>
          <w:p w14:paraId="5BC7E74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Achieved a measured 60.0% Multi-Core Cache Hit Rate.</w:t>
            </w:r>
          </w:p>
          <w:p w14:paraId="1814225D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Updated project presentation slides and assembled simulation evidence.</w:t>
            </w:r>
          </w:p>
        </w:tc>
      </w:tr>
      <w:tr w14:paraId="201C6913">
        <w:trPr>
          <w:trHeight w:val="300" w:hRule="atLeast"/>
        </w:trPr>
        <w:tc>
          <w:tcPr>
            <w:tcW w:w="1103" w:type="dxa"/>
            <w:vAlign w:val="center"/>
          </w:tcPr>
          <w:p w14:paraId="3A038EC2">
            <w:pPr>
              <w:spacing w:after="0"/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  <w:t>7. Analysis / Development / Implementation</w:t>
            </w:r>
          </w:p>
        </w:tc>
        <w:tc>
          <w:tcPr>
            <w:tcW w:w="7835" w:type="dxa"/>
            <w:vAlign w:val="center"/>
          </w:tcPr>
          <w:p w14:paraId="589FE46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Pipeline Forwarding Analysis: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An unforwarded pipeline stalls for 2 clock cycles on `LOAD R1` -&gt; `ADD R2, R1, R3`. Our forwarding unit forwards the loaded/computed operand into the EX stage at Cycle 4, achieving 0 stall bubbles.</w:t>
            </w:r>
          </w:p>
          <w:p w14:paraId="1186455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- Cache Invalidation Analysis: 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When Node 0 and Node 1 share Tag 0x3F2A (State S) and Node 2 writes to it, the directory sends invalidations exclusively to Nodes 0 and 1 (transitioning them to State I) and grants Node 2 State M ownership. Stale reads are eliminated.</w:t>
            </w:r>
          </w:p>
        </w:tc>
      </w:tr>
      <w:tr w14:paraId="7FCAE253">
        <w:trPr>
          <w:trHeight w:val="300" w:hRule="atLeast"/>
        </w:trPr>
        <w:tc>
          <w:tcPr>
            <w:tcW w:w="1103" w:type="dxa"/>
            <w:vAlign w:val="center"/>
          </w:tcPr>
          <w:p w14:paraId="64860810">
            <w:pPr>
              <w:spacing w:after="0"/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color w:val="auto"/>
                <w:sz w:val="18"/>
                <w:szCs w:val="18"/>
              </w:rPr>
              <w:t>8. Results / Interim Outcomes</w:t>
            </w:r>
          </w:p>
        </w:tc>
        <w:tc>
          <w:tcPr>
            <w:tcW w:w="7835" w:type="dxa"/>
            <w:vAlign w:val="center"/>
          </w:tcPr>
          <w:p w14:paraId="378E65A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Pipeline Performance: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Clock-per-Instruction (CPI) reduced to ~1.06 for telemetry-polling routines.</w:t>
            </w:r>
          </w:p>
          <w:p w14:paraId="3454E6B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- Bus Invalidation Efficiency: 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Only 2 targeted messages generated on writes, preserving interconnect bandwidth.</w:t>
            </w:r>
          </w:p>
          <w:p w14:paraId="47B7CB1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- Cache Efficiency: 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60.0% Cache Hit Rate verified across concurrent multi-node test sequences.</w:t>
            </w:r>
          </w:p>
          <w:p w14:paraId="3155E86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- Access Speed: 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1-cycle L1 hit access verified for local telemetry reads.</w:t>
            </w:r>
          </w:p>
        </w:tc>
      </w:tr>
      <w:tr w14:paraId="5667BABF">
        <w:trPr>
          <w:trHeight w:val="300" w:hRule="atLeast"/>
        </w:trPr>
        <w:tc>
          <w:tcPr>
            <w:tcW w:w="1103" w:type="dxa"/>
            <w:vAlign w:val="center"/>
          </w:tcPr>
          <w:p w14:paraId="191A39F3">
            <w:pPr>
              <w:spacing w:after="0"/>
              <w:rPr>
                <w:rFonts w:hint="default" w:ascii="Times New Roman Regular" w:hAnsi="Times New Roman Regular" w:eastAsia="Times New Roman" w:cs="Times New Roman Regular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auto"/>
                <w:sz w:val="18"/>
                <w:szCs w:val="18"/>
              </w:rPr>
              <w:t>9. Evidence / Supporting Material</w:t>
            </w:r>
          </w:p>
        </w:tc>
        <w:tc>
          <w:tcPr>
            <w:tcW w:w="7835" w:type="dxa"/>
            <w:vAlign w:val="center"/>
          </w:tcPr>
          <w:p w14:paraId="5874091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Terminal logs from `main.py` showing cycle-by-cycle pipeline progression and directory invalidations.</w:t>
            </w:r>
          </w:p>
          <w:p w14:paraId="5EE0CFD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Dashboard screenshot from `gui_dashboard.py` showing live clock stepping and register state changes.</w:t>
            </w:r>
          </w:p>
          <w:p w14:paraId="0C150C8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MESI state-transition table and pipeline forwarding schematics.</w:t>
            </w:r>
          </w:p>
        </w:tc>
      </w:tr>
      <w:tr w14:paraId="7FB6B9A3">
        <w:trPr>
          <w:trHeight w:val="300" w:hRule="atLeast"/>
        </w:trPr>
        <w:tc>
          <w:tcPr>
            <w:tcW w:w="1103" w:type="dxa"/>
            <w:vAlign w:val="center"/>
          </w:tcPr>
          <w:p w14:paraId="3DF642D5">
            <w:pPr>
              <w:spacing w:after="0"/>
              <w:rPr>
                <w:rFonts w:hint="default" w:ascii="Times New Roman Regular" w:hAnsi="Times New Roman Regular" w:eastAsia="Times New Roman" w:cs="Times New Roman Regular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auto"/>
                <w:sz w:val="18"/>
                <w:szCs w:val="18"/>
              </w:rPr>
              <w:t>10. Challenges &amp; Corrective Actions</w:t>
            </w:r>
          </w:p>
        </w:tc>
        <w:tc>
          <w:tcPr>
            <w:tcW w:w="7835" w:type="dxa"/>
            <w:vAlign w:val="center"/>
          </w:tcPr>
          <w:p w14:paraId="538971A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- Challenge 1: 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Initial test scripts yielded a 0.0% hit rate because requests were purely cold compulsory misses.</w:t>
            </w:r>
          </w:p>
          <w:p w14:paraId="5EA1602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  Solution: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Added temporal locality reads to the same address tag, raising the verified hit rate to 60.0%.</w:t>
            </w:r>
          </w:p>
          <w:p w14:paraId="325557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Challenge 2: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Simultaneous instruction fetches and data memory accesses created structural hazards.</w:t>
            </w:r>
          </w:p>
          <w:p w14:paraId="4D46D42E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  </w:t>
            </w: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Solution: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Adopted a Harvard-style split L1 architecture (32 KB I-Cache + 32 KB D-Cache).</w:t>
            </w:r>
          </w:p>
        </w:tc>
      </w:tr>
      <w:tr w14:paraId="49FA8D39">
        <w:trPr>
          <w:trHeight w:val="300" w:hRule="atLeast"/>
        </w:trPr>
        <w:tc>
          <w:tcPr>
            <w:tcW w:w="1103" w:type="dxa"/>
            <w:vAlign w:val="center"/>
          </w:tcPr>
          <w:p w14:paraId="42BAA6AA">
            <w:pPr>
              <w:spacing w:after="0"/>
              <w:rPr>
                <w:rFonts w:hint="default" w:ascii="Times New Roman Regular" w:hAnsi="Times New Roman Regular" w:eastAsia="Times New Roman" w:cs="Times New Roman Regular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auto"/>
                <w:sz w:val="18"/>
                <w:szCs w:val="18"/>
              </w:rPr>
              <w:t>11. Individual / Team Contribution</w:t>
            </w:r>
          </w:p>
        </w:tc>
        <w:tc>
          <w:tcPr>
            <w:tcW w:w="7835" w:type="dxa"/>
            <w:vAlign w:val="center"/>
          </w:tcPr>
          <w:p w14:paraId="084A44EA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- Kajal Tiwari (2501331930030): 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Led Module 3; implemented the 5-stage RISC pipeline and operand forwarding logic.</w:t>
            </w:r>
          </w:p>
          <w:p w14:paraId="4A133339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- Anshika Verma (2501331930014): 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Led Module 4; designed the MESI directory protocol and evaluated hit/miss latencies.</w:t>
            </w:r>
          </w:p>
          <w:p w14:paraId="5C20D7D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>- Akshya Gupta (2501331930010):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 Team Lead &amp; Integrator; embedded the Booth ALU into the EX stage, wired the memory stage to the MESI cache, and built the visualizer.</w:t>
            </w:r>
          </w:p>
          <w:p w14:paraId="223B147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Bold" w:hAnsi="Times New Roman Bold" w:eastAsia="helvetica" w:cs="Times New Roman Bold"/>
                <w:b/>
                <w:bCs/>
                <w:color w:val="auto"/>
                <w:kern w:val="0"/>
                <w:sz w:val="18"/>
                <w:szCs w:val="18"/>
                <w:lang w:val="en-US" w:eastAsia="zh-CN" w:bidi="ar"/>
              </w:rPr>
              <w:t xml:space="preserve">- Priyanshu Rai (2501331930038): </w:t>
            </w: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Interfaced the Module 1 preemptive bus arbiter with the memory subsystem for sensor DMA bursts.</w:t>
            </w:r>
          </w:p>
        </w:tc>
      </w:tr>
      <w:tr w14:paraId="646901AA">
        <w:trPr>
          <w:trHeight w:val="300" w:hRule="atLeast"/>
        </w:trPr>
        <w:tc>
          <w:tcPr>
            <w:tcW w:w="1103" w:type="dxa"/>
            <w:vAlign w:val="center"/>
          </w:tcPr>
          <w:p w14:paraId="6D252BC0">
            <w:pPr>
              <w:spacing w:after="0"/>
              <w:rPr>
                <w:rFonts w:hint="default" w:ascii="Times New Roman Regular" w:hAnsi="Times New Roman Regular" w:eastAsia="Times New Roman" w:cs="Times New Roman Regular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auto"/>
                <w:sz w:val="18"/>
                <w:szCs w:val="18"/>
              </w:rPr>
              <w:t>12. Overall Progress (%)</w:t>
            </w:r>
          </w:p>
        </w:tc>
        <w:tc>
          <w:tcPr>
            <w:tcW w:w="7835" w:type="dxa"/>
            <w:vAlign w:val="center"/>
          </w:tcPr>
          <w:p w14:paraId="6981DE7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75% (Modules 1, 2, 3, and 4 are complete and validated; remaining work focuses on final Module 5 multi-node mesh scaling and report synthesis).</w:t>
            </w:r>
          </w:p>
        </w:tc>
      </w:tr>
      <w:tr w14:paraId="3520EE57">
        <w:trPr>
          <w:trHeight w:val="300" w:hRule="atLeast"/>
        </w:trPr>
        <w:tc>
          <w:tcPr>
            <w:tcW w:w="1103" w:type="dxa"/>
            <w:vAlign w:val="center"/>
          </w:tcPr>
          <w:p w14:paraId="5134578F">
            <w:pPr>
              <w:spacing w:after="0"/>
              <w:rPr>
                <w:rFonts w:hint="default" w:ascii="Times New Roman Regular" w:hAnsi="Times New Roman Regular" w:eastAsia="Times New Roman" w:cs="Times New Roman Regular"/>
                <w:b/>
                <w:bCs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bCs/>
                <w:color w:val="auto"/>
                <w:sz w:val="18"/>
                <w:szCs w:val="18"/>
              </w:rPr>
              <w:t>13. Plan for Final Review</w:t>
            </w:r>
          </w:p>
        </w:tc>
        <w:tc>
          <w:tcPr>
            <w:tcW w:w="7835" w:type="dxa"/>
            <w:vAlign w:val="center"/>
          </w:tcPr>
          <w:p w14:paraId="347ABD3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Finalize Module 5: Benchmark 2D-Mesh X-Y dimension-order routing latencies across 16-node arrays.</w:t>
            </w:r>
          </w:p>
          <w:p w14:paraId="0BF5B981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Draft the comprehensive 20–25 page final project documentation.</w:t>
            </w:r>
          </w:p>
          <w:p w14:paraId="6C6E612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- Prepare the final team presentation and live dashboard demonstration for the viva voce.</w:t>
            </w:r>
          </w:p>
          <w:p w14:paraId="51CFA747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 Regular" w:hAnsi="Times New Roman Regular" w:eastAsia="Times New Roman" w:cs="Times New Roman Regular"/>
                <w:color w:val="auto"/>
                <w:sz w:val="18"/>
                <w:szCs w:val="18"/>
              </w:rPr>
            </w:pPr>
            <w:r>
              <w:rPr>
                <w:rFonts w:hint="default" w:ascii="Times New Roman Regular" w:hAnsi="Times New Roman Regular" w:eastAsia="helvetica" w:cs="Times New Roman Regular"/>
                <w:color w:val="auto"/>
                <w:kern w:val="0"/>
                <w:sz w:val="18"/>
                <w:szCs w:val="18"/>
                <w:lang w:val="en-US" w:eastAsia="zh-CN" w:bidi="ar"/>
              </w:rPr>
              <w:t>ashboard demonstration for the viva voce.</w:t>
            </w:r>
          </w:p>
        </w:tc>
      </w:tr>
    </w:tbl>
    <w:p w14:paraId="710925C9">
      <w:pPr>
        <w:rPr>
          <w:rFonts w:hint="default" w:ascii="Times New Roman Regular" w:hAnsi="Times New Roman Regular" w:eastAsia="Times New Roman" w:cs="Times New Roman Regular"/>
          <w:color w:val="auto"/>
          <w:sz w:val="18"/>
          <w:szCs w:val="1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merican Typewriter Regular">
    <w:panose1 w:val="02090604020004020304"/>
    <w:charset w:val="00"/>
    <w:family w:val="auto"/>
    <w:pitch w:val="default"/>
    <w:sig w:usb0="A000006F" w:usb1="00000019" w:usb2="00000000" w:usb3="00000000" w:csb0="2000011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B4F23"/>
    <w:multiLevelType w:val="singleLevel"/>
    <w:tmpl w:val="94FB4F23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8083605"/>
    <w:multiLevelType w:val="multilevel"/>
    <w:tmpl w:val="0808360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3EF70724"/>
    <w:multiLevelType w:val="singleLevel"/>
    <w:tmpl w:val="3EF7072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69C718"/>
    <w:rsid w:val="00038510"/>
    <w:rsid w:val="00890237"/>
    <w:rsid w:val="00F4677A"/>
    <w:rsid w:val="031F46F4"/>
    <w:rsid w:val="034F3707"/>
    <w:rsid w:val="0463D0A1"/>
    <w:rsid w:val="04B75235"/>
    <w:rsid w:val="0632A142"/>
    <w:rsid w:val="0650C6FB"/>
    <w:rsid w:val="0737EE6D"/>
    <w:rsid w:val="08D2B46D"/>
    <w:rsid w:val="0B31A197"/>
    <w:rsid w:val="0EA36ACA"/>
    <w:rsid w:val="0FE069B1"/>
    <w:rsid w:val="1026076D"/>
    <w:rsid w:val="11406CE2"/>
    <w:rsid w:val="11457B21"/>
    <w:rsid w:val="12F05522"/>
    <w:rsid w:val="13196EA4"/>
    <w:rsid w:val="14FD2983"/>
    <w:rsid w:val="179FEA79"/>
    <w:rsid w:val="17B04448"/>
    <w:rsid w:val="19D9F4B6"/>
    <w:rsid w:val="1A43986F"/>
    <w:rsid w:val="1B78B30F"/>
    <w:rsid w:val="1D989519"/>
    <w:rsid w:val="1F638BE2"/>
    <w:rsid w:val="1FA67069"/>
    <w:rsid w:val="20501FE4"/>
    <w:rsid w:val="20A993A8"/>
    <w:rsid w:val="20E17DA2"/>
    <w:rsid w:val="21A386B4"/>
    <w:rsid w:val="233B5571"/>
    <w:rsid w:val="23ABC4B0"/>
    <w:rsid w:val="268674FA"/>
    <w:rsid w:val="27619DE8"/>
    <w:rsid w:val="27F95CEC"/>
    <w:rsid w:val="2A3D1F48"/>
    <w:rsid w:val="2A8EA9D5"/>
    <w:rsid w:val="2B7D63DC"/>
    <w:rsid w:val="2C69C718"/>
    <w:rsid w:val="2CDE1373"/>
    <w:rsid w:val="2FB1A2EC"/>
    <w:rsid w:val="32B5BF76"/>
    <w:rsid w:val="32DDBF3C"/>
    <w:rsid w:val="34CB10FA"/>
    <w:rsid w:val="34E6BF77"/>
    <w:rsid w:val="350AAE97"/>
    <w:rsid w:val="37757E48"/>
    <w:rsid w:val="38CB9DD0"/>
    <w:rsid w:val="38F6EDFB"/>
    <w:rsid w:val="3ADC4D42"/>
    <w:rsid w:val="3BFC4C87"/>
    <w:rsid w:val="3C0DC0F5"/>
    <w:rsid w:val="3C2E21C4"/>
    <w:rsid w:val="3C3D20BC"/>
    <w:rsid w:val="3C78524C"/>
    <w:rsid w:val="3D5008D7"/>
    <w:rsid w:val="3D7A320A"/>
    <w:rsid w:val="3E2D68B5"/>
    <w:rsid w:val="3F7EDA3E"/>
    <w:rsid w:val="3FBE5F42"/>
    <w:rsid w:val="41C64406"/>
    <w:rsid w:val="4264D66A"/>
    <w:rsid w:val="42EE9D97"/>
    <w:rsid w:val="42F2405D"/>
    <w:rsid w:val="436FC65A"/>
    <w:rsid w:val="43EF7AAF"/>
    <w:rsid w:val="44398B83"/>
    <w:rsid w:val="455B5262"/>
    <w:rsid w:val="46893737"/>
    <w:rsid w:val="46B87A93"/>
    <w:rsid w:val="46EC2411"/>
    <w:rsid w:val="4702A4C8"/>
    <w:rsid w:val="4BB8998C"/>
    <w:rsid w:val="4BFB4823"/>
    <w:rsid w:val="4C68E91C"/>
    <w:rsid w:val="4CAE8F8A"/>
    <w:rsid w:val="4CBCFBBF"/>
    <w:rsid w:val="4CBE5602"/>
    <w:rsid w:val="4DA24B16"/>
    <w:rsid w:val="4F4F2FC9"/>
    <w:rsid w:val="52142C06"/>
    <w:rsid w:val="528E4294"/>
    <w:rsid w:val="54628F7A"/>
    <w:rsid w:val="55634635"/>
    <w:rsid w:val="55D9EE55"/>
    <w:rsid w:val="5781343C"/>
    <w:rsid w:val="58E1548A"/>
    <w:rsid w:val="58F22594"/>
    <w:rsid w:val="594B3EE0"/>
    <w:rsid w:val="5FBF3C81"/>
    <w:rsid w:val="5FF872EA"/>
    <w:rsid w:val="60A76447"/>
    <w:rsid w:val="613B93C6"/>
    <w:rsid w:val="63462BC9"/>
    <w:rsid w:val="6572DD76"/>
    <w:rsid w:val="65D1043D"/>
    <w:rsid w:val="662DBF49"/>
    <w:rsid w:val="675B781E"/>
    <w:rsid w:val="67B5C155"/>
    <w:rsid w:val="69209C3E"/>
    <w:rsid w:val="692E7ECB"/>
    <w:rsid w:val="6BB56C56"/>
    <w:rsid w:val="6C399DB1"/>
    <w:rsid w:val="6C437CBD"/>
    <w:rsid w:val="6D086036"/>
    <w:rsid w:val="6DE6AA7E"/>
    <w:rsid w:val="6F3DA65E"/>
    <w:rsid w:val="6FF8A530"/>
    <w:rsid w:val="7002C7C8"/>
    <w:rsid w:val="7022C24C"/>
    <w:rsid w:val="71BC2D24"/>
    <w:rsid w:val="7269547A"/>
    <w:rsid w:val="72770D18"/>
    <w:rsid w:val="72997E31"/>
    <w:rsid w:val="72C5402C"/>
    <w:rsid w:val="743D2FC6"/>
    <w:rsid w:val="746D87FC"/>
    <w:rsid w:val="749A0788"/>
    <w:rsid w:val="7557FBAF"/>
    <w:rsid w:val="7615724F"/>
    <w:rsid w:val="769D5D70"/>
    <w:rsid w:val="781F7FF8"/>
    <w:rsid w:val="78EC9E65"/>
    <w:rsid w:val="79274C42"/>
    <w:rsid w:val="79B2B046"/>
    <w:rsid w:val="79DAE6F0"/>
    <w:rsid w:val="7CD373E0"/>
    <w:rsid w:val="7CE94059"/>
    <w:rsid w:val="7D403670"/>
    <w:rsid w:val="7DDAD992"/>
    <w:rsid w:val="7E425650"/>
    <w:rsid w:val="7FB6B6CB"/>
    <w:rsid w:val="A7C9EB01"/>
    <w:rsid w:val="CBDA39BD"/>
    <w:rsid w:val="D9DE4E32"/>
    <w:rsid w:val="FF7DE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semiHidden/>
    <w:unhideWhenUsed/>
    <w:uiPriority w:val="99"/>
    <w:rPr>
      <w:sz w:val="24"/>
      <w:szCs w:val="24"/>
    </w:rPr>
  </w:style>
  <w:style w:type="table" w:styleId="7">
    <w:name w:val="Table Grid"/>
    <w:basedOn w:val="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8">
    <w:name w:val="No Spacing"/>
    <w:qFormat/>
    <w:uiPriority w:val="1"/>
    <w:pPr>
      <w:spacing w:after="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color w:val="FFFFFF"/>
      <w:kern w:val="0"/>
      <w:sz w:val="22"/>
      <w:szCs w:val="22"/>
      <w:lang w:val="en-US" w:eastAsia="zh-CN" w:bidi="ar"/>
    </w:rPr>
  </w:style>
  <w:style w:type="paragraph" w:customStyle="1" w:styleId="11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FFFFFF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441</Words>
  <Characters>2518</Characters>
  <Lines>20</Lines>
  <Paragraphs>5</Paragraphs>
  <TotalTime>16</TotalTime>
  <ScaleCrop>false</ScaleCrop>
  <LinksUpToDate>false</LinksUpToDate>
  <CharactersWithSpaces>2954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2026-08-20T20:37:00Z</dcterms:created>
  <dc:creator>Dr. Irphan Ali</dc:creator>
  <cp:lastModifiedBy>Akshya Gupta</cp:lastModifiedBy>
  <dcterms:modified xsi:type="dcterms:W3CDTF">2026-10-08T23:13:48Z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180C4A6FE8EDF7B157D3AC6ACBEB9795_42</vt:lpwstr>
  </property>
</Properties>
</file>