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Проспективное, одноцентровое, открытое, рандомизированное, клиническое исследование в параллельных группах, по сравнительной оценке, эффективности и безопасности биологически активной добавки</w:t>
      </w:r>
      <w:r>
        <w:t xml:space="preserve"> </w:t>
      </w:r>
      <w:r>
        <w:t xml:space="preserve">“Куркумин НЕО”</w:t>
      </w:r>
      <w:r>
        <w:t xml:space="preserve">, 100 мг для перорального применения в сравнении со стандартной терапией</w:t>
      </w:r>
      <w:r>
        <w:t xml:space="preserve"> </w:t>
      </w:r>
      <w:r>
        <w:t xml:space="preserve">“Метотрексат”</w:t>
      </w:r>
      <w:r>
        <w:t xml:space="preserve">, 7,5 мг для лечения при ревматоидном артрите (РА).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програмное-обеспечение"/>
    <w:p>
      <w:pPr>
        <w:pStyle w:val="Heading1"/>
      </w:pPr>
      <w:r>
        <w:t xml:space="preserve">Програмное обеспечение</w:t>
      </w:r>
    </w:p>
    <w:p>
      <w:pPr>
        <w:pStyle w:val="FirstParagraph"/>
      </w:pPr>
      <w:r>
        <w:t xml:space="preserve">Анализ данных выполнен в программе RStudio версии 2025.5.1.513 с использованием языка R version 4.5.1 (2025-06-13 ucrt)</w:t>
      </w:r>
    </w:p>
    <w:bookmarkEnd w:id="20"/>
    <w:bookmarkStart w:id="42" w:name="статистический-анализ"/>
    <w:p>
      <w:pPr>
        <w:pStyle w:val="Heading1"/>
      </w:pPr>
      <w:r>
        <w:t xml:space="preserve">Статистический анализ</w:t>
      </w:r>
    </w:p>
    <w:bookmarkStart w:id="32" w:name="анализ-эффективности"/>
    <w:p>
      <w:pPr>
        <w:pStyle w:val="Heading2"/>
      </w:pPr>
      <w:r>
        <w:t xml:space="preserve">Анализ эффективности</w:t>
      </w:r>
    </w:p>
    <w:bookmarkStart w:id="24" w:name="пкт"/>
    <w:p>
      <w:pPr>
        <w:pStyle w:val="Heading3"/>
      </w:pPr>
      <w:r>
        <w:t xml:space="preserve">ПКТ</w:t>
      </w:r>
    </w:p>
    <w:p>
      <w:pPr>
        <w:pStyle w:val="FirstParagraph"/>
      </w:pPr>
      <w:r>
        <w:t xml:space="preserve">На основании первичной конечной точки можно сформулировать тестируемые гипотезы:</w:t>
      </w:r>
    </w:p>
    <w:p>
      <w:pPr>
        <w:pStyle w:val="BodyText"/>
      </w:pPr>
      <w:r>
        <w:t xml:space="preserve">Нулевая гипотеза: Разница средних между группами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и</w:t>
      </w:r>
      <w:r>
        <w:t xml:space="preserve"> </w:t>
      </w:r>
      <w:r>
        <w:t xml:space="preserve">“Метотрексат”</w:t>
      </w:r>
      <w:r>
        <w:t xml:space="preserve"> </w:t>
      </w:r>
      <w:r>
        <w:t xml:space="preserve">меньше или равна порогу не меньшей эффективности. (то есть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имеет такой же или даже более выраженный эффект)</w:t>
      </w:r>
    </w:p>
    <w:p>
      <w:pPr>
        <w:pStyle w:val="BodyText"/>
      </w:pPr>
      <w:r>
        <w:t xml:space="preserve">Альтернативная гипотеза: Разница средних между группами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и</w:t>
      </w:r>
      <w:r>
        <w:t xml:space="preserve"> </w:t>
      </w:r>
      <w:r>
        <w:t xml:space="preserve">“Метотрексат”</w:t>
      </w:r>
      <w:r>
        <w:t xml:space="preserve"> </w:t>
      </w:r>
      <w:r>
        <w:t xml:space="preserve">больше порога не меньшей эффективности. (то есть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имеет клинически значимо меньший эффект, чем</w:t>
      </w:r>
      <w:r>
        <w:t xml:space="preserve"> </w:t>
      </w:r>
      <w:r>
        <w:t xml:space="preserve">“Метотрексат”</w:t>
      </w:r>
      <w:r>
        <w:t xml:space="preserve">)</w:t>
      </w:r>
    </w:p>
    <w:p>
      <w:pPr>
        <w:pStyle w:val="BodyText"/>
      </w:pPr>
      <m:oMath>
        <m:r>
          <m:t>Н</m:t>
        </m:r>
        <m:r>
          <m:t>0</m:t>
        </m:r>
        <m:r>
          <m:rPr>
            <m:sty m:val="p"/>
          </m:rPr>
          <m:t>:</m:t>
        </m:r>
        <m:r>
          <m:t>Δ</m:t>
        </m:r>
        <m:r>
          <m:t>D</m:t>
        </m:r>
        <m:r>
          <m:t>A</m:t>
        </m:r>
        <m:r>
          <m:t>S</m:t>
        </m:r>
        <m:sSub>
          <m:e>
            <m:r>
              <m:t>28</m:t>
            </m:r>
          </m:e>
          <m:sub>
            <m:r>
              <m:t>c</m:t>
            </m:r>
            <m:r>
              <m:t>u</m:t>
            </m:r>
            <m:r>
              <m:t>r</m:t>
            </m:r>
            <m:r>
              <m:t>c</m:t>
            </m:r>
            <m:r>
              <m:t>u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r>
          <m:t>Δ</m:t>
        </m:r>
        <m:r>
          <m:t>D</m:t>
        </m:r>
        <m:r>
          <m:t>A</m:t>
        </m:r>
        <m:r>
          <m:t>S</m:t>
        </m:r>
        <m:sSub>
          <m:e>
            <m:r>
              <m:t>28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h</m:t>
            </m:r>
            <m:r>
              <m:t>o</m:t>
            </m:r>
            <m:r>
              <m:t>t</m:t>
            </m:r>
            <m:r>
              <m:t>r</m:t>
            </m:r>
            <m:r>
              <m:t>e</m:t>
            </m:r>
            <m:r>
              <m:t>x</m:t>
            </m:r>
            <m:r>
              <m:t>a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≤</m:t>
        </m:r>
        <m:r>
          <m:t>δ</m:t>
        </m:r>
      </m:oMath>
    </w:p>
    <w:p>
      <w:pPr>
        <w:pStyle w:val="BodyText"/>
      </w:pPr>
      <m:oMath>
        <m:r>
          <m:t>H</m:t>
        </m:r>
        <m:r>
          <m:t>A</m:t>
        </m:r>
        <m:r>
          <m:rPr>
            <m:sty m:val="p"/>
          </m:rPr>
          <m:t>:</m:t>
        </m:r>
        <m:r>
          <m:t>Δ</m:t>
        </m:r>
        <m:r>
          <m:t>D</m:t>
        </m:r>
        <m:r>
          <m:t>A</m:t>
        </m:r>
        <m:r>
          <m:t>S</m:t>
        </m:r>
        <m:sSub>
          <m:e>
            <m:r>
              <m:t>28</m:t>
            </m:r>
          </m:e>
          <m:sub>
            <m:r>
              <m:t>c</m:t>
            </m:r>
            <m:r>
              <m:t>u</m:t>
            </m:r>
            <m:r>
              <m:t>r</m:t>
            </m:r>
            <m:r>
              <m:t>c</m:t>
            </m:r>
            <m:r>
              <m:t>u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r>
          <m:t>Δ</m:t>
        </m:r>
        <m:r>
          <m:t>D</m:t>
        </m:r>
        <m:r>
          <m:t>A</m:t>
        </m:r>
        <m:r>
          <m:t>S</m:t>
        </m:r>
        <m:sSub>
          <m:e>
            <m:r>
              <m:t>28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h</m:t>
            </m:r>
            <m:r>
              <m:t>o</m:t>
            </m:r>
            <m:r>
              <m:t>t</m:t>
            </m:r>
            <m:r>
              <m:t>r</m:t>
            </m:r>
            <m:r>
              <m:t>e</m:t>
            </m:r>
            <m:r>
              <m:t>x</m:t>
            </m:r>
            <m:r>
              <m:t>a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&gt;</m:t>
        </m:r>
        <m:r>
          <m:t>δ</m:t>
        </m:r>
      </m:oMath>
    </w:p>
    <w:p>
      <w:pPr>
        <w:pStyle w:val="BodyText"/>
      </w:pPr>
      <w:r>
        <w:t xml:space="preserve">Где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- порог не меньшей эффективности, равный -0.6 баллов по шкале DAS28,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- разница между баллами за 12 и 0 визиты у пациента</w:t>
      </w:r>
    </w:p>
    <w:p>
      <w:pPr>
        <w:pStyle w:val="BodyText"/>
      </w:pPr>
      <w:r>
        <w:drawing>
          <wp:inline>
            <wp:extent cx="5544151" cy="462012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_files/figure-docx/unnamed-chunk-10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4620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 результатам выполнения функции средняя разница между группами (КуркуминНЕО - Метотрексат) составила 0.704 балла по шкале DAS28 95%CI [0.4419774 Inf] (р-value = 5.291e-10), что значительно превышает порог не меньшей эффективности, равный -0.6 баллов по шкале DAS28, следовательно мы отвергаем нулевую гипотезу о том, что КуркуминНЕО имеет такой же или более выраженный эффект, чем метотрексат.</w:t>
      </w:r>
    </w:p>
    <w:bookmarkEnd w:id="24"/>
    <w:bookmarkStart w:id="31" w:name="вкт"/>
    <w:p>
      <w:pPr>
        <w:pStyle w:val="Heading3"/>
      </w:pPr>
      <w:r>
        <w:t xml:space="preserve">ВКТ</w:t>
      </w:r>
    </w:p>
    <w:bookmarkStart w:id="28" w:name="X5a2803267745f2832d63976d3b83e0618bced08"/>
    <w:p>
      <w:pPr>
        <w:pStyle w:val="Heading4"/>
      </w:pPr>
      <w:r>
        <w:t xml:space="preserve">Оценка разности средних оценок интенсивности болей в суставах по 100 мм ВАШ в двух граппах</w:t>
      </w:r>
    </w:p>
    <w:p>
      <w:pPr>
        <w:pStyle w:val="FirstParagraph"/>
      </w:pPr>
      <w:r>
        <w:t xml:space="preserve">Для проверки вторичной конечной точки</w:t>
      </w:r>
      <w:r>
        <w:t xml:space="preserve"> </w:t>
      </w:r>
      <w:r>
        <w:t xml:space="preserve">“Изменение интенсивности болей в суставах по 100 мм ВАШ”</w:t>
      </w:r>
      <w:r>
        <w:t xml:space="preserve"> </w:t>
      </w:r>
      <w:r>
        <w:t xml:space="preserve">сформулировали следующие гипотезы:</w:t>
      </w:r>
    </w:p>
    <w:p>
      <w:pPr>
        <w:pStyle w:val="BodyText"/>
      </w:pPr>
      <w:r>
        <w:t xml:space="preserve">Нулевая гипотеза: Разница средних между группами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и</w:t>
      </w:r>
      <w:r>
        <w:t xml:space="preserve"> </w:t>
      </w:r>
      <w:r>
        <w:t xml:space="preserve">“Метотрексат”</w:t>
      </w:r>
      <w:r>
        <w:t xml:space="preserve"> </w:t>
      </w:r>
      <w:r>
        <w:t xml:space="preserve">меньше или равна 0. Т.е.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имеет такой же или менее выраженный эффект.</w:t>
      </w:r>
    </w:p>
    <w:p>
      <w:pPr>
        <w:pStyle w:val="BodyText"/>
      </w:pPr>
      <w:r>
        <w:t xml:space="preserve">Альтернативная гипотеза: Разница средних между группами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и метотрексата больше 0. Т.е.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имеет статистически значимо больший эффект в сравнении с</w:t>
      </w:r>
      <w:r>
        <w:t xml:space="preserve"> </w:t>
      </w:r>
      <w:r>
        <w:t xml:space="preserve">“Метотрексат”</w:t>
      </w:r>
      <w:r>
        <w:t xml:space="preserve">.</w:t>
      </w:r>
    </w:p>
    <w:p>
      <w:pPr>
        <w:pStyle w:val="BodyText"/>
      </w:pPr>
      <m:oMath>
        <m:r>
          <m:t>Н</m:t>
        </m:r>
        <m:r>
          <m:t>0</m:t>
        </m:r>
        <m:r>
          <m:rPr>
            <m:sty m:val="p"/>
          </m:rPr>
          <m:t>:</m:t>
        </m:r>
        <m:r>
          <m:t>Δ</m:t>
        </m:r>
        <m:r>
          <m:t>V</m:t>
        </m:r>
        <m:r>
          <m:t>A</m:t>
        </m:r>
        <m:sSub>
          <m:e>
            <m:r>
              <m:t>S</m:t>
            </m:r>
          </m:e>
          <m:sub>
            <m:r>
              <m:t>c</m:t>
            </m:r>
            <m:r>
              <m:t>u</m:t>
            </m:r>
            <m:r>
              <m:t>r</m:t>
            </m:r>
            <m:r>
              <m:t>c</m:t>
            </m:r>
            <m:r>
              <m:t>u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r>
          <m:t>Δ</m:t>
        </m:r>
        <m:r>
          <m:t>V</m:t>
        </m:r>
        <m:r>
          <m:t>A</m:t>
        </m: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h</m:t>
            </m:r>
            <m:r>
              <m:t>o</m:t>
            </m:r>
            <m:r>
              <m:t>t</m:t>
            </m:r>
            <m:r>
              <m:t>r</m:t>
            </m:r>
            <m:r>
              <m:t>e</m:t>
            </m:r>
            <m:r>
              <m:t>x</m:t>
            </m:r>
            <m:r>
              <m:t>a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≤</m:t>
        </m:r>
        <m:r>
          <m:t>0</m:t>
        </m:r>
      </m:oMath>
    </w:p>
    <w:p>
      <w:pPr>
        <w:pStyle w:val="BodyText"/>
      </w:pPr>
      <m:oMath>
        <m:r>
          <m:t>H</m:t>
        </m:r>
        <m:r>
          <m:t>A</m:t>
        </m:r>
        <m:r>
          <m:rPr>
            <m:sty m:val="p"/>
          </m:rPr>
          <m:t>:</m:t>
        </m:r>
        <m:r>
          <m:t>Δ</m:t>
        </m:r>
        <m:r>
          <m:t>V</m:t>
        </m:r>
        <m:r>
          <m:t>A</m:t>
        </m:r>
        <m:sSub>
          <m:e>
            <m:r>
              <m:t>S</m:t>
            </m:r>
          </m:e>
          <m:sub>
            <m:r>
              <m:t>c</m:t>
            </m:r>
            <m:r>
              <m:t>u</m:t>
            </m:r>
            <m:r>
              <m:t>r</m:t>
            </m:r>
            <m:r>
              <m:t>c</m:t>
            </m:r>
            <m:r>
              <m:t>u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r>
          <m:t>Δ</m:t>
        </m:r>
        <m:r>
          <m:t>V</m:t>
        </m:r>
        <m:r>
          <m:t>A</m:t>
        </m: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h</m:t>
            </m:r>
            <m:r>
              <m:t>o</m:t>
            </m:r>
            <m:r>
              <m:t>t</m:t>
            </m:r>
            <m:r>
              <m:t>r</m:t>
            </m:r>
            <m:r>
              <m:t>e</m:t>
            </m:r>
            <m:r>
              <m:t>x</m:t>
            </m:r>
            <m:r>
              <m:t>a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drawing>
          <wp:inline>
            <wp:extent cx="5544151" cy="462012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Results_files/figure-docx/unnamed-chunk-1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4620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Полученное p-значение больше 0.05 (p = 0.8748), что НЕ дает нам возможность опровергнуть нулевую гипотезу о равенстве нулю разницы средених оценко по шкале VAS. 97,5% ДИ [-inf, 12.91] разницы средних включает 0.</w:t>
      </w:r>
    </w:p>
    <w:p>
      <w:pPr>
        <w:pStyle w:val="BodyText"/>
      </w:pPr>
      <w:r>
        <w:t xml:space="preserve">Таким образом, согласно результатам одностороннего Т-теста, мы не можем опровергнуть нулевую гипотезу о отсутвии большей эффективности в снижении боли при использовании препатара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по сравнению с</w:t>
      </w:r>
      <w:r>
        <w:t xml:space="preserve"> </w:t>
      </w:r>
      <w:r>
        <w:t xml:space="preserve">“Метотрексат”</w:t>
      </w:r>
      <w:r>
        <w:t xml:space="preserve">.</w:t>
      </w:r>
    </w:p>
    <w:bookmarkEnd w:id="28"/>
    <w:bookmarkStart w:id="29" w:name="X736dc50cd143510f4459ced29be086948468fca"/>
    <w:p>
      <w:pPr>
        <w:pStyle w:val="Heading4"/>
      </w:pPr>
      <w:r>
        <w:t xml:space="preserve">Измерение доли пациентов, достигших полного ответа по шкале DAS28 (DAS28 &lt; 2,6)</w:t>
      </w:r>
    </w:p>
    <w:p>
      <w:pPr>
        <w:pStyle w:val="FirstParagraph"/>
      </w:pPr>
      <w:r>
        <w:t xml:space="preserve">В результате анализа количества пациентов, достигнувших полного ответа на лечение (DAS28 &lt; 2.6) через 12 месяцев, не выявили статистически значимых различий между группами терапии. В группе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ни один пациент не достиг полного ответа на лечение, в группе</w:t>
      </w:r>
      <w:r>
        <w:t xml:space="preserve"> </w:t>
      </w:r>
      <w:r>
        <w:t xml:space="preserve">“Метотрексат”</w:t>
      </w:r>
      <w:r>
        <w:t xml:space="preserve"> </w:t>
      </w:r>
      <w:r>
        <w:t xml:space="preserve">полный ответ на лечение достигли 5 из 13 пациентов (38,5%).</w:t>
      </w:r>
    </w:p>
    <w:p>
      <w:pPr>
        <w:pStyle w:val="BodyText"/>
      </w:pPr>
      <w:r>
        <w:t xml:space="preserve">Согласно полученному критерию Хи-квадрат для проверки независимости, терапия и достижение полного ответа на лечение не имеют статистически значимую взаимосвязь по уровню значимости 0.05 (p = 0.0878, X-квадрат = 2.91).</w:t>
      </w:r>
    </w:p>
    <w:p>
      <w:pPr>
        <w:pStyle w:val="BodyText"/>
      </w:pPr>
      <w:r>
        <w:rPr>
          <w:b/>
          <w:bCs/>
        </w:rPr>
        <w:t xml:space="preserve">Отношение шансов</w:t>
      </w:r>
      <w:r>
        <w:t xml:space="preserve"> </w:t>
      </w:r>
      <w:r>
        <w:t xml:space="preserve">между группами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и</w:t>
      </w:r>
      <w:r>
        <w:t xml:space="preserve"> </w:t>
      </w:r>
      <w:r>
        <w:t xml:space="preserve">“Метотрексат”</w:t>
      </w:r>
      <w:r>
        <w:t xml:space="preserve"> </w:t>
      </w:r>
      <w:r>
        <w:t xml:space="preserve">равно нулю, так как ни один из пациентов в группе</w:t>
      </w:r>
      <w:r>
        <w:t xml:space="preserve"> </w:t>
      </w:r>
      <w:r>
        <w:t xml:space="preserve">“Куркумин НЕО”</w:t>
      </w:r>
      <w:r>
        <w:t xml:space="preserve"> </w:t>
      </w:r>
      <w:r>
        <w:t xml:space="preserve">не достиг полного ответа.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Не достигли полного ответа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Достигли полного ответа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Куркумин НЕО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Метотрексат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</w:tbl>
    <w:bookmarkEnd w:id="29"/>
    <w:bookmarkStart w:id="30" w:name="Xecc7d633ebdb4f5a0531e2b90840c4e03f8c070"/>
    <w:p>
      <w:pPr>
        <w:pStyle w:val="Heading4"/>
      </w:pPr>
      <w:r>
        <w:t xml:space="preserve">Измерение доли пациентов, достигших приемлемого для себя состояния симптомов (PASS)</w:t>
      </w:r>
    </w:p>
    <w:p>
      <w:pPr>
        <w:pStyle w:val="FirstParagraph"/>
      </w:pPr>
      <w:r>
        <w:t xml:space="preserve">В результате анализа количества пациентов, достигнувших приемлемого для себя состояния симптомов (PASS = 0), не выявили статистически значимых различий между группами терапии. Согласно полученному критерию Хи-квадрат для проверки независимости, терапия и достижение приемлемого для себя состояния симптомов не имеют статистически значимой взаимосвязи по уровню значимости 0.05 (p = 1, X-квадрат = 0).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Отсутсвие боли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Боль сохранилась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Куркумин НЕО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Метотрексат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</w:tbl>
    <w:p>
      <w:pPr>
        <w:pStyle w:val="BodyText"/>
      </w:pPr>
      <w:r>
        <w:t xml:space="preserve">Отношение шансов достижения приемлемого для себя состояния симптомов группы терапии</w:t>
      </w:r>
      <w:r>
        <w:t xml:space="preserve"> </w:t>
      </w:r>
      <w:r>
        <w:t xml:space="preserve">“Куркумин НЕО”</w:t>
      </w:r>
      <w:r>
        <w:t xml:space="preserve">, к группе терпии</w:t>
      </w:r>
      <w:r>
        <w:t xml:space="preserve"> </w:t>
      </w:r>
      <w:r>
        <w:t xml:space="preserve">“Метотрексат”</w:t>
      </w:r>
      <w:r>
        <w:t xml:space="preserve"> </w:t>
      </w:r>
      <w:r>
        <w:t xml:space="preserve">(OR = 1.16, 95% ДИ [0.21; 6.52], р-значение = 0.85) указывает на отсутсиве статистически значимых различий.</w:t>
      </w:r>
    </w:p>
    <w:bookmarkEnd w:id="30"/>
    <w:bookmarkEnd w:id="31"/>
    <w:bookmarkEnd w:id="32"/>
    <w:bookmarkStart w:id="34" w:name="исходное-состояние"/>
    <w:p>
      <w:pPr>
        <w:pStyle w:val="Heading2"/>
      </w:pPr>
      <w:r>
        <w:t xml:space="preserve">Исходное состояние</w:t>
      </w:r>
    </w:p>
    <w:bookmarkStart w:id="33" w:name="таблица-1.-демография"/>
    <w:p>
      <w:pPr>
        <w:pStyle w:val="Heading3"/>
      </w:pPr>
      <w:r>
        <w:t xml:space="preserve">Таблица 1. Демография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2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Возраст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42.64 (7.72)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46.14 (12.01)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44.60 (10.30)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37.45–47.83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39.21–53.07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40.35–48.85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31.00–56.00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18.00–62.00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18.00–62.00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Пол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(72.0%)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0.943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(28.0%)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33"/>
    <w:bookmarkEnd w:id="34"/>
    <w:bookmarkStart w:id="35" w:name="таблица-2.-антропометрия"/>
    <w:p>
      <w:pPr>
        <w:pStyle w:val="Heading2"/>
      </w:pPr>
      <w:r>
        <w:t xml:space="preserve">Таблица 2. Антропометрия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00" w:hRule="auto"/>
        </w:trPr>
        body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Индекс массы тела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0.846</w:t>
            </w:r>
          </w:p>
        </w:tc>
      </w:tr>
      <w:tr>
        <w:trPr>
          <w:trHeight w:val="617" w:hRule="auto"/>
        </w:trPr>
        body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29.04 (8.26)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28.42 (7.12)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28.69 (7.48)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23.49–34.59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24.31–32.53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25.60–31.78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14.50–44.90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18.70–43.50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14.50–44.90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8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Масса тела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80.22 (21.40)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79.24 (17.66)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79.67 (18.97)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65.84–94.59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69.04–89.43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71.84–87.50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47.20–125.20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50.50–104.90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47.20–125.20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body15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Рост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0.912</w:t>
            </w:r>
          </w:p>
        </w:tc>
      </w:tr>
      <w:tr>
        <w:trPr>
          <w:trHeight w:val="617" w:hRule="auto"/>
        </w:trPr>
        body16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167.09 (8.79)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167.44 (5.78)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167.28 (7.09)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161.19–173.00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164.10–170.77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164.36–170.21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149.40–180.70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153.80–174.60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149.40–180.70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35"/>
    <w:bookmarkStart w:id="36" w:name="Xea51b5f11883a8c0d2d25d08507dad57ad37a37"/>
    <w:p>
      <w:pPr>
        <w:pStyle w:val="Heading2"/>
      </w:pPr>
      <w:r>
        <w:t xml:space="preserve">Таблица 3. Электрокардиограция в 12 стандартных отведениях, соответствие референсным значениями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QT-аномалия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(64.3%)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</w:tr>
      <w:tr>
        <w:trPr>
          <w:trHeight w:val="617" w:hRule="auto"/>
        </w:trPr>
        body2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(35.7%)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изменения ST-T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617" w:hRule="auto"/>
        </w:trPr>
        body4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ЭКГ: нарушение ритма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617" w:hRule="auto"/>
        </w:trPr>
        body6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36"/>
    <w:bookmarkStart w:id="41" w:name="анализ-безопасности"/>
    <w:p>
      <w:pPr>
        <w:pStyle w:val="Heading2"/>
      </w:pPr>
      <w:r>
        <w:t xml:space="preserve">Анализ безопасности</w:t>
      </w:r>
    </w:p>
    <w:bookmarkStart w:id="37" w:name="X9674cfa8e400e596d80378cf4cc7f9045228dec"/>
    <w:p>
      <w:pPr>
        <w:pStyle w:val="Heading3"/>
      </w:pPr>
      <w:r>
        <w:t xml:space="preserve">Таблица 4. Оценка жизненно-важных показателей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АД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</w:tr>
      <w:tr>
        <w:trPr>
          <w:trHeight w:val="617" w:hRule="auto"/>
        </w:trPr>
        body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0.734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(80.0%)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ЧДД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617" w:hRule="auto"/>
        </w:trPr>
        body26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(80.0%)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(20.0%)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617" w:hRule="auto"/>
        </w:trPr>
        body48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ЧСС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</w:tr>
      <w:tr>
        <w:trPr>
          <w:trHeight w:val="617" w:hRule="auto"/>
        </w:trPr>
        body52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0.792</w:t>
            </w:r>
          </w:p>
        </w:tc>
      </w:tr>
      <w:tr>
        <w:trPr>
          <w:trHeight w:val="617" w:hRule="auto"/>
        </w:trPr>
        body56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0.792</w:t>
            </w:r>
          </w:p>
        </w:tc>
      </w:tr>
      <w:tr>
        <w:trPr>
          <w:trHeight w:val="617" w:hRule="auto"/>
        </w:trPr>
        body59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0.399</w:t>
            </w:r>
          </w:p>
        </w:tc>
      </w:tr>
      <w:tr>
        <w:trPr>
          <w:trHeight w:val="617" w:hRule="auto"/>
        </w:trPr>
        body61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 температуры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(81.8%)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0.546</w:t>
            </w:r>
          </w:p>
        </w:tc>
      </w:tr>
      <w:tr>
        <w:trPr>
          <w:trHeight w:val="617" w:hRule="auto"/>
        </w:trPr>
        body80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(18.2%)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(84.0%)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617" w:hRule="auto"/>
        </w:trPr>
        body82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(16.0%)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0.191</w:t>
            </w:r>
          </w:p>
        </w:tc>
      </w:tr>
      <w:tr>
        <w:trPr>
          <w:trHeight w:val="617" w:hRule="auto"/>
        </w:trPr>
        body86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617" w:hRule="auto"/>
        </w:trPr>
        body88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617" w:hRule="auto"/>
        </w:trPr>
        body90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(100.0%)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(96.0%)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(92.9%)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(92.0%)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</w:tr>
      <w:tr>
        <w:trPr>
          <w:trHeight w:val="617" w:hRule="auto"/>
        </w:trPr>
        body95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(90.9%)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(85.7%)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(88.0%)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</w:tr>
      <w:tr>
        <w:trPr>
          <w:trHeight w:val="617" w:hRule="auto"/>
        </w:trPr>
        body97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(9.1%)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(14.3%)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(12.0%)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(72.7%)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(78.6%)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(76.0%)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0.734</w:t>
            </w:r>
          </w:p>
        </w:tc>
      </w:tr>
      <w:tr>
        <w:trPr>
          <w:trHeight w:val="617" w:hRule="auto"/>
        </w:trPr>
        body99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Отклонение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(27.3%)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(21.4%)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(24.0%)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37"/>
    <w:bookmarkStart w:id="38" w:name="таблица-5.-клинический-анализ-крови"/>
    <w:p>
      <w:pPr>
        <w:pStyle w:val="Heading3"/>
      </w:pPr>
      <w:r>
        <w:t xml:space="preserve">Таблица 5. Клинический анализ крови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4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Гемоглобин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12.61 (1.50)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11.60–13.62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12.06–13.56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0.608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12.57 (1.47)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12.85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(1.25)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11.58–13.56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12.22–13.48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12.21–13.25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0.759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12.52 (1.65)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 (1.13)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11.41–13.63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12.05–13.35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12.06–13.18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0.788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12.63 (1.63)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(1.36)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11.53–13.72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12.11–13.46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12.15–13.28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0.638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12.53 (1.56)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 (1.30)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11.48–13.58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12.14–13.21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0.522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12.41 (1.64)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12.79 (1.18)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12.62 (1.39)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11.31–13.51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12.05–13.20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12.65 (1.69)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12.74 (1.34)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11.51–13.78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12.19–13.29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10.00–15.40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0.586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12.56 (1.46)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12.86 (1.10)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(1.25)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11.58–13.54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12.22–13.49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12.21–13.24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0.727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12.61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 (1.12)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(1.27)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11.61–13.61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12.15–13.45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12.19–13.24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0.784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12.57 (1.58)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12.73 (1.09)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12.66 (1.30)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11.51–13.63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12.10–13.36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12.12–13.20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10.50–15.60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10.50–15.60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0.656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12.58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12.82 (1.07)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12.72 (1.24)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11.59–13.57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12.20–13.23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10.40–15.20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10.40–15.20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0.436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12.38 (1.58)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12.84 (1.17)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12.64 (1.35)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11.32–13.44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12.08–13.19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9.80–14.90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11.50–14.60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9.80–14.90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0.635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 (1.48)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12.81 (1.15)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12.69 (1.28)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11.55–13.54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12.14–13.47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12.16–13.22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11.20–14.80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10.10–14.80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Лейкоциты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7.60 (2.09)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7.93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7.78 (1.91)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6.20–9.00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6.87–8.99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6.99–8.57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5.20–11.50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0.275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6.95 (1.75)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7.79 (2.00)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 (1.90)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5.77–8.12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5.10–11.70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4.30–11.70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0.724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7.26 (1.60)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7.51 (1.80)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 (1.68)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6.19–8.34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6.47–8.54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6.71–8.09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4.50–9.60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4.40–11.20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0.614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7.27 (1.65)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7.63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 (1.72)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6.17–8.38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6.57–8.68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6.76–8.18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4.60–10.50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8.16 (2.07)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 (1.98)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5.91–8.31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6.96–9.35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6.88–8.51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4.10–9.30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7.24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7.77 (1.88)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7.54 (1.78)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6.11–8.37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6.68–8.86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4.00–9.20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0.613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7.36 (1.55)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7.71 (1.88)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7.56 (1.71)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6.32–8.40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6.85–8.27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4.20–9.80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5.30–11.20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4.20–11.20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0.829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7.24 (1.72)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7.39 (1.86)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7.32 (1.76)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6.08–8.39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6.32–8.47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6.60–8.05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5.10–9.80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4.90–10.90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7.15 (1.99)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7.65 (1.98)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7.43 (1.96)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5.81–8.48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6.51–8.79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6.62–8.24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3.90–9.50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7.16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7.59 (1.96)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 (1.82)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6.03–8.30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6.46–8.72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6.65–8.15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5.00–11.80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4.20–11.80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6.92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8.01 (1.71)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 (1.79)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5.72–8.12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7.03–9.00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6.79–8.27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3.40–9.20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5.30–10.70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3.40–10.70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7.45 (2.09)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7.74 (1.84)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 (1.91)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6.05–8.86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6.68–8.80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6.83–8.41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0.755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7.37 (1.69)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7.61 (2.01)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 (1.84)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6.24–8.51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6.45–8.77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6.74–8.26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0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4.80–11.70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Тромбоциты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0.212</w:t>
            </w:r>
          </w:p>
        </w:tc>
      </w:tr>
      <w:tr>
        <w:trPr>
          <w:trHeight w:val="617" w:hRule="auto"/>
        </w:trPr>
        body184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310.45 (76.64)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348.29 (67.72)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331.64 (72.79)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258.97–361.94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309.19–387.39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301.59–361.69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171.00–430.00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214.00–485.00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171.00–485.00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</w:tr>
      <w:tr>
        <w:trPr>
          <w:trHeight w:val="617" w:hRule="auto"/>
        </w:trPr>
        body191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300.09 (72.02)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342.14 (84.31)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323.64 (80.41)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251.71–348.48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293.46–390.82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290.45–356.83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185.00–424.00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188.00–457.00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185.00–457.00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0.273</w:t>
            </w:r>
          </w:p>
        </w:tc>
      </w:tr>
      <w:tr>
        <w:trPr>
          <w:trHeight w:val="617" w:hRule="auto"/>
        </w:trPr>
        body198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310.64 (68.59)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343.36 (76.65)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328.96 (73.60)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body199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264.56–356.72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299.10–387.61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298.58–359.34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202.00–445.00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182.00–465.00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182.00–465.00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0.323</w:t>
            </w:r>
          </w:p>
        </w:tc>
      </w:tr>
      <w:tr>
        <w:trPr>
          <w:trHeight w:val="617" w:hRule="auto"/>
        </w:trPr>
        body205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309.36 (56.13)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333.79 (64.66)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323.04 (61.08)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271.66–347.07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296.45–371.12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297.83–348.25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216.00–390.00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222.00–464.00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216.00–464.00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body212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296.82 (68.76)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339.64 (89.60)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320.80 (82.40)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250.62–343.01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287.91–391.38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286.79–354.81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199.00–414.00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178.00–526.00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178.00–526.00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</w:tr>
      <w:tr>
        <w:trPr>
          <w:trHeight w:val="617" w:hRule="auto"/>
        </w:trPr>
        body219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320.82 (57.58)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346.79 (76.21)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335.36 (68.56)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282.13–359.50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302.79–390.79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307.06–363.66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235.00–395.00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196.00–473.00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196.00–473.00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0.161</w:t>
            </w:r>
          </w:p>
        </w:tc>
      </w:tr>
      <w:tr>
        <w:trPr>
          <w:trHeight w:val="617" w:hRule="auto"/>
        </w:trPr>
        body226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292.45 (56.16)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326.21 (59.78)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311.36 (59.52)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254.72–330.18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291.70–360.73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286.79–335.93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194.00–388.00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193.00–448.00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193.00–448.00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</w:p>
        </w:tc>
      </w:tr>
      <w:tr>
        <w:trPr>
          <w:trHeight w:val="617" w:hRule="auto"/>
        </w:trPr>
        body233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318.55 (78.73)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333.64 (69.47)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327.00 (72.50)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265.65–371.44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293.53–373.75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297.08–356.92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179.00–462.00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224.00–487.00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179.00–487.00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7" w:hRule="auto"/>
        </w:trPr>
        body240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310.55 (57.48)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328.57 (72.68)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320.64 (65.73)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271.93–349.16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286.61–370.53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293.51–347.77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230.00–429.00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187.00–474.00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187.00–474.00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</w:tr>
      <w:tr>
        <w:trPr>
          <w:trHeight w:val="617" w:hRule="auto"/>
        </w:trPr>
        body247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312.45 (56.83)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334.36 (77.03)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324.72 (68.43)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274.28–350.63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289.88–378.83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296.47–352.97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216.00–421.00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189.00–487.00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189.00–487.00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0.205</w:t>
            </w:r>
          </w:p>
        </w:tc>
      </w:tr>
      <w:tr>
        <w:trPr>
          <w:trHeight w:val="617" w:hRule="auto"/>
        </w:trPr>
        body254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309.18 (58.58)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343.93 (74.70)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328.64 (69.01)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269.83–348.54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300.80–387.06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300.15–357.13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219.00–394.00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197.00–475.00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197.00–475.00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17" w:hRule="auto"/>
        </w:trPr>
        body261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313.36 (54.61)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335.86 (77.68)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325.96 (68.13)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276.68–350.05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291.01–380.71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297.84–354.08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237.00–398.00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193.00–471.00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193.00–471.00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617" w:hRule="auto"/>
        </w:trPr>
        body268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307.55 (63.04)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334.14 (76.83)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322.44 (70.95)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265.19–349.90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289.78–378.50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293.15–351.73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6" w:hRule="auto"/>
        </w:trPr>
        body273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220.00–410.00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206.00–461.00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206.00–461.00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38"/>
    <w:bookmarkStart w:id="39" w:name="таблица-6.-биохимический-анализ-крови"/>
    <w:p>
      <w:pPr>
        <w:pStyle w:val="Heading3"/>
      </w:pPr>
      <w:r>
        <w:t xml:space="preserve">Таблица 6. Биохимический анализ крови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1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АЛТ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 (10.37)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28.36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25.08 (13.06)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13.94–27.87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20.07–36.65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19.69–30.47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7.00–61.00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5.00–61.00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0.423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22.27 (9.80)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26.43 (15.53)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24.60 (13.23)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15.69–28.86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17.46–35.39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19.14–30.06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19.36 (10.79)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28.50 (13.41)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24.48 (12.94)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12.11–26.61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20.75–36.25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19.14–29.82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11.00–55.00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0.346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20.36 (11.93)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25.36 (14.02)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23.16 (13.12)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12.35–28.38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17.26–33.45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17.74–28.58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11.00–54.00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0.168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20.55 (12.01)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27.57 (12.51)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24.48 (12.55)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12.48–28.61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20.35–34.79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19.30–29.66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21.73 (12.41)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24.43 (10.27)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23.24 (11.10)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13.39–30.06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18.50–30.36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18.66–27.82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0.433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 (10.84)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27.50 (13.39)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25.80 (12.24)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16.36–30.92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19.77–35.23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20.75–30.85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20.73 (10.00)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26.93 (12.85)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24.20 (11.87)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14.01–27.45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19.51–34.35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19.30–29.10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21.55 (10.13)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27.14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24.68 (12.75)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14.74–28.35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18.85–35.44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19.42–29.94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8.00–39.00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 (9.84)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26.64 (13.96)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23.28 (12.68)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12.39–25.61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18.58–34.70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18.04–28.52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9.00–48.00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21.73 (12.50)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28.79 (14.30)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25.68 (13.73)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13.33–30.12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20.53–37.04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20.01–31.35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9.00–58.00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0.149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19.82 (11.57)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27.71 (14.88)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24.24 (13.85)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12.04–27.59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19.12–36.31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18.52–29.96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2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10.00–57.00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5.00–57.00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21.09 (13.52)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28.29 (14.63)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25.12 (14.33)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12.01–30.18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19.84–36.73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19.20–31.04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1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7.00–62.00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5.00–62.00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АСТ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26.82 (8.17)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23.43 (8.98)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24.92 (8.63)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21.33–32.31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18.25–28.61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21.36–28.48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22.91 (9.74)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21.86 (9.54)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22.32 (9.44)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16.36–29.45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16.35–27.37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18.42–26.22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0.428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27.09 (9.71)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23.71 (11.17)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25.20 (10.48)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20.57–33.61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17.27–30.16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20.88–29.52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0.279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25.64 (6.67)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21.79 (10.59)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23.48 (9.12)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21.16–30.12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15.67–27.90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19.72–27.24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 (7.91)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23.93 (8.20)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23.52 (7.92)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17.68–28.32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19.19–28.67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20.25–26.79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11.00–38.00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0.704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23.18 (7.61)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21.86 (9.57)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22.44 (8.62)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18.07–28.30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16.33–27.39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18.88–26.00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6.00–32.00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5.00–40.00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22.55 (6.85)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21.14 (11.84)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21.76 (9.79)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17.95–27.14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14.31–27.98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17.72–25.80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0.525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24.09 (11.18)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21.29 (10.20)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22.52 (10.51)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16.58–31.60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15.40–27.18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18.18–26.86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9.00–40.00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6.00–42.00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25.36 (10.05)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20.14 (9.82)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22.44 (10.07)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18.61–32.12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14.47–25.81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18.28–26.60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5.00–31.00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24.64 (8.36)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23.57 (11.27)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24.04 (9.91)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19.02–30.25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17.06–30.08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19.95–28.13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26.09 (9.06)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20.36 (9.87)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22.88 (9.77)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20.00–32.18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14.66–26.06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18.85–26.91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29.00 (9.89)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23.57 (11.91)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25.96 (11.19)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22.36–35.64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16.69–30.45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21.34–30.58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17.00–45.00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5.00–45.00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27.91 (9.50)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20.07 (10.69)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23.52 (10.74)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7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21.53–34.29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13.90–26.24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19.09–27.95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02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83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574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13.00–44.00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5.00–44.00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Креатинин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0.567</w:t>
            </w:r>
          </w:p>
        </w:tc>
      </w:tr>
      <w:tr>
        <w:trPr>
          <w:trHeight w:val="617" w:hRule="auto"/>
        </w:trPr>
        body184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0.41–1.16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0.893</w:t>
            </w:r>
          </w:p>
        </w:tc>
      </w:tr>
      <w:tr>
        <w:trPr>
          <w:trHeight w:val="617" w:hRule="auto"/>
        </w:trPr>
        body191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0.59–1.15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</w:tr>
      <w:tr>
        <w:trPr>
          <w:trHeight w:val="617" w:hRule="auto"/>
        </w:trPr>
        body198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body199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0.671</w:t>
            </w:r>
          </w:p>
        </w:tc>
      </w:tr>
      <w:tr>
        <w:trPr>
          <w:trHeight w:val="617" w:hRule="auto"/>
        </w:trPr>
        body205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0.53–1.21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0.42–1.21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</w:tr>
      <w:tr>
        <w:trPr>
          <w:trHeight w:val="617" w:hRule="auto"/>
        </w:trPr>
        body212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0.75–0.91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0.49–1.08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0.43–1.10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0.577</w:t>
            </w:r>
          </w:p>
        </w:tc>
      </w:tr>
      <w:tr>
        <w:trPr>
          <w:trHeight w:val="617" w:hRule="auto"/>
        </w:trPr>
        body219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0.874</w:t>
            </w:r>
          </w:p>
        </w:tc>
      </w:tr>
      <w:tr>
        <w:trPr>
          <w:trHeight w:val="617" w:hRule="auto"/>
        </w:trPr>
        body226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0.965</w:t>
            </w:r>
          </w:p>
        </w:tc>
      </w:tr>
      <w:tr>
        <w:trPr>
          <w:trHeight w:val="617" w:hRule="auto"/>
        </w:trPr>
        body233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0.794</w:t>
            </w:r>
          </w:p>
        </w:tc>
      </w:tr>
      <w:tr>
        <w:trPr>
          <w:trHeight w:val="617" w:hRule="auto"/>
        </w:trPr>
        body240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0.72–1.01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0.42–1.16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17" w:hRule="auto"/>
        </w:trPr>
        body247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0.835</w:t>
            </w:r>
          </w:p>
        </w:tc>
      </w:tr>
      <w:tr>
        <w:trPr>
          <w:trHeight w:val="617" w:hRule="auto"/>
        </w:trPr>
        body254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0.72–0.95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0.73–0.98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0.46–1.17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0.915</w:t>
            </w:r>
          </w:p>
        </w:tc>
      </w:tr>
      <w:tr>
        <w:trPr>
          <w:trHeight w:val="617" w:hRule="auto"/>
        </w:trPr>
        body261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0.71–0.96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0.57–1.18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0.44–1.18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0.614</w:t>
            </w:r>
          </w:p>
        </w:tc>
      </w:tr>
      <w:tr>
        <w:trPr>
          <w:trHeight w:val="617" w:hRule="auto"/>
        </w:trPr>
        body268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0.74–0.99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0.70–0.94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2" w:hRule="auto"/>
        </w:trPr>
        body273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0.62–1.20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0.40–1.20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body274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С-реактивный белок (CRP)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18" w:hRule="auto"/>
        </w:trPr>
        body275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18.09 (14.36)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22.08 (17.10)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20.32 (15.76)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8.44–27.74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12.21–31.95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13.82–26.83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4.20–48.40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0.70–64.50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0.70–64.50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0.716</w:t>
            </w:r>
          </w:p>
        </w:tc>
      </w:tr>
      <w:tr>
        <w:trPr>
          <w:trHeight w:val="618" w:hRule="auto"/>
        </w:trPr>
        body282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17.62 (13.68)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19.84 (16.54)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18.86 (15.08)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8.43–26.81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10.29–29.39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12.64–25.09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4.30–47.30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3.50–61.70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3.50–61.70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</w:tr>
      <w:tr>
        <w:trPr>
          <w:trHeight w:val="618" w:hRule="auto"/>
        </w:trPr>
        body289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15.25 (14.63)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 (16.86)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17.92 (15.78)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5.43–25.08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10.28–29.75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11.41–24.43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0.10–45.10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3.30–63.70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0.10–63.70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18" w:hRule="auto"/>
        </w:trPr>
        body296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15.95 (13.87)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20.24 (15.55)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18.35 (14.69)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6.64–25.27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11.26–29.22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12.29–24.42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body299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2.30–48.50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5.40–61.50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2.30–61.50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0.456</w:t>
            </w:r>
          </w:p>
        </w:tc>
      </w:tr>
      <w:tr>
        <w:trPr>
          <w:trHeight w:val="618" w:hRule="auto"/>
        </w:trPr>
        body303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15.23 (12.71)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19.50 (15.45)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17.62 (14.19)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6.69–23.77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10.58–28.42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11.76–23.48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3.80–43.10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1.70–58.10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1.70–58.10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8" w:hRule="auto"/>
        </w:trPr>
        body310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15.51 (11.81)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 (14.26)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17.06 (13.05)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7.58–23.44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10.05–26.52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11.68–22.45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5.40–41.50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6.70–55.70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5.40–55.70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0.456</w:t>
            </w:r>
          </w:p>
        </w:tc>
      </w:tr>
      <w:tr>
        <w:trPr>
          <w:trHeight w:val="618" w:hRule="auto"/>
        </w:trPr>
        body317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14.87 (12.26)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18.84 (13.84)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17.09 (13.05)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6.64–23.11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10.85–26.82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11.70–22.48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1.40–39.30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6.80–53.40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1.40–53.40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</w:tr>
      <w:tr>
        <w:trPr>
          <w:trHeight w:val="618" w:hRule="auto"/>
        </w:trPr>
        body324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13.45 (11.36)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17.81 (13.40)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15.89 (12.49)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5.82–21.09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10.07–25.54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10.74–21.05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0.10–36.60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4.10–54.00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0.10–54.00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0.501</w:t>
            </w:r>
          </w:p>
        </w:tc>
      </w:tr>
      <w:tr>
        <w:trPr>
          <w:trHeight w:val="618" w:hRule="auto"/>
        </w:trPr>
        body331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13.63 (9.92)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16.80 (13.27)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15.40 (11.79)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6.97–20.29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9.14–24.46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10.54–20.27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4.20–34.70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3.60–52.10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3.60–52.10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</w:p>
        </w:tc>
      </w:tr>
      <w:tr>
        <w:trPr>
          <w:trHeight w:val="618" w:hRule="auto"/>
        </w:trPr>
        body338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13.13 (11.35)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15.19 (13.08)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14.28 (12.14)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5.50–20.76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7.64–22.74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9.27–19.30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0.10–37.50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2.50–47.20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0.10–47.20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0.557</w:t>
            </w:r>
          </w:p>
        </w:tc>
      </w:tr>
      <w:tr>
        <w:trPr>
          <w:trHeight w:val="618" w:hRule="auto"/>
        </w:trPr>
        body345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12.48 (9.96)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15.17 (12.58)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13.99 (11.35)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5.79–19.17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7.91–22.43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9.30–18.67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2.60–33.10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3.60–48.20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2.60–48.20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0.564</w:t>
            </w:r>
          </w:p>
        </w:tc>
      </w:tr>
      <w:tr>
        <w:trPr>
          <w:trHeight w:val="618" w:hRule="auto"/>
        </w:trPr>
        body352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12.16 (9.96)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14.65 (11.20)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13.56 (10.53)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5.47–18.86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8.18–21.12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9.21–17.90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0.30–33.10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3.70–44.70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0.30–44.70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0.514</w:t>
            </w:r>
          </w:p>
        </w:tc>
      </w:tr>
      <w:tr>
        <w:trPr>
          <w:trHeight w:val="618" w:hRule="auto"/>
        </w:trPr>
        body359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11.37 (9.25)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14.29 (12.74)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13.01 (11.21)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5.16–17.59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6.94–21.65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8.38–17.64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body364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0.10–31.20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0.20–46.40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0.10–46.40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39"/>
    <w:bookmarkStart w:id="40" w:name="таблица-7.-общий-анализ-мочи"/>
    <w:p>
      <w:pPr>
        <w:pStyle w:val="Heading3"/>
      </w:pPr>
      <w:r>
        <w:t xml:space="preserve">Таблица 7. Общий анализ мочи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Показатель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CurcuminNEO (N=11)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Methotrexate (N=14)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Всего (N=25)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Белок в моче (прокси)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</w:tr>
      <w:tr>
        <w:trPr>
          <w:trHeight w:val="617" w:hRule="auto"/>
        </w:trPr>
        body 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 (0.13)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(0.20)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0.04–0.46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</w:p>
        </w:tc>
      </w:tr>
      <w:tr>
        <w:trPr>
          <w:trHeight w:val="617" w:hRule="auto"/>
        </w:trPr>
        body 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7" w:hRule="auto"/>
        </w:trPr>
        body 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(0.26)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0.01–0.54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0.02–0.82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0.01–0.82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 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 (0.24)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0.18–0.48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0.20–0.40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7" w:hRule="auto"/>
        </w:trPr>
        body 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 (0.14)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0.10–0.28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0.20–0.38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 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 (0.20)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 (0.30)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 (0.27)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0.12–0.39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0.25–0.59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</w:tr>
      <w:tr>
        <w:trPr>
          <w:trHeight w:val="617" w:hRule="auto"/>
        </w:trPr>
        body 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 (0.17)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 (0.25)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(0.22)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</w:p>
        </w:tc>
      </w:tr>
      <w:tr>
        <w:trPr>
          <w:trHeight w:val="617" w:hRule="auto"/>
        </w:trPr>
        body 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(0.23)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0.24–0.42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</w:tr>
      <w:tr>
        <w:trPr>
          <w:trHeight w:val="617" w:hRule="auto"/>
        </w:trPr>
        body 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 (0.28)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 (0.26)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0.08–0.34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0.19–0.52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0.18–0.39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0.00–0.82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0.446</w:t>
            </w:r>
          </w:p>
        </w:tc>
      </w:tr>
      <w:tr>
        <w:trPr>
          <w:trHeight w:val="617" w:hRule="auto"/>
        </w:trPr>
        body 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 (0.21)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(0.23)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0.09–0.45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0.22–0.47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0.21–0.41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0.00–0.92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17" w:hRule="auto"/>
        </w:trPr>
        body 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(0.18)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 (0.18)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0.21–0.43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0.22–0.37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0.00–0.66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 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 (0.15)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 (0.27)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 (0.24)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0.15–0.35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0.29–0.60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0.03–1.06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0.00–1.06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7" w:hRule="auto"/>
        </w:trPr>
        body 86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(0.21)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0.25–0.50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0.24–0.51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0.29–0.46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56.9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89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0.16–0.70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0.00–0.74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Эритроциты в моче (прокси)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</w:p>
        </w:tc>
      </w:tr>
      <w:tr>
        <w:trPr>
          <w:trHeight w:val="617" w:hRule="auto"/>
        </w:trPr>
        body 93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(0.94)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 (1.55)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1.46–2.73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1.16–2.44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 99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0.959</w:t>
            </w:r>
          </w:p>
        </w:tc>
      </w:tr>
      <w:tr>
        <w:trPr>
          <w:trHeight w:val="617" w:hRule="auto"/>
        </w:trPr>
        body100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 (1.33)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 (1.81)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 (1.58)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0.93–2.71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0.74–2.83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1.15–2.45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0.542</w:t>
            </w:r>
          </w:p>
        </w:tc>
      </w:tr>
      <w:tr>
        <w:trPr>
          <w:trHeight w:val="617" w:hRule="auto"/>
        </w:trPr>
        body107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(1.65)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0.89–2.93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1.00–2.36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body109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(1.38)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0.99–2.83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0.44–2.56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1.01–2.35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0.817</w:t>
            </w:r>
          </w:p>
        </w:tc>
      </w:tr>
      <w:tr>
        <w:trPr>
          <w:trHeight w:val="617" w:hRule="auto"/>
        </w:trPr>
        body121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 (1.27)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(2.03)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(1.70)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0.87–2.58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0.40–2.74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0.94–2.34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129.0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</w:t>
            </w:r>
          </w:p>
        </w:tc>
      </w:tr>
      <w:tr>
        <w:trPr>
          <w:trHeight w:val="617" w:hRule="auto"/>
        </w:trPr>
        body128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 (1.41)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(1.68)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body129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1.05–2.95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0.35–2.51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0.99–2.37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</w:t>
            </w:r>
          </w:p>
        </w:tc>
      </w:tr>
      <w:tr>
        <w:trPr>
          <w:trHeight w:val="617" w:hRule="auto"/>
        </w:trPr>
        body135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(1.68)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(1.49)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0.74–2.69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1.06–2.30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</w:p>
        </w:tc>
      </w:tr>
      <w:tr>
        <w:trPr>
          <w:trHeight w:val="617" w:hRule="auto"/>
        </w:trPr>
        body142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(1.45)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(2.06)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 (1.81)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1.12–3.06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0.24–2.62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0.97–2.47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0.889</w:t>
            </w:r>
          </w:p>
        </w:tc>
      </w:tr>
      <w:tr>
        <w:trPr>
          <w:trHeight w:val="617" w:hRule="auto"/>
        </w:trPr>
        body149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 (1.19)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(1.52)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0.61–2.67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1.05–2.31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</w:t>
            </w:r>
          </w:p>
        </w:tc>
      </w:tr>
      <w:tr>
        <w:trPr>
          <w:trHeight w:val="617" w:hRule="auto"/>
        </w:trPr>
        body156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(1.60)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1.09–2.73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0.35–2.51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0.98–2.30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body159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617" w:hRule="auto"/>
        </w:trPr>
        body163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 (1.22)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 (1.61)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1.27–2.91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0.42–2.58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1.09–2.43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91.7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1.00–5.00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body169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17" w:hRule="auto"/>
        </w:trPr>
        body170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 (1.45)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(1.79)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0.94–2.88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0.47–2.53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1.01–2.35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96.8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0.00–7.00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0.924</w:t>
            </w:r>
          </w:p>
        </w:tc>
      </w:tr>
      <w:tr>
        <w:trPr>
          <w:trHeight w:val="617" w:hRule="auto"/>
        </w:trPr>
        body177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(2.06)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 (1.73)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0.77–2.50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0.38–2.76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0.89–2.31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body179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CV, 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108.3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  <w:tr>
        <w:trPr>
          <w:trHeight w:val="617" w:hRule="auto"/>
        </w:trPr>
        body182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Min–Max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0.00–8.00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</w:tr>
    </w:tbl>
    <w:bookmarkEnd w:id="40"/>
    <w:bookmarkEnd w:id="41"/>
    <w:bookmarkEnd w:id="42"/>
    <w:sectPr w:rsidR="0019416B" w:rsidRPr="0019522C">
      <w:headerReference r:id="rId9" w:type="default"/>
      <w:footerReference r:id="rId10" w:type="default"/>
      <w:pgSz w:h="16838" w:w="11906"/>
      <w:pgMar w:bottom="1134" w:footer="567" w:gutter="0" w:header="567" w:left="1701" w:right="850" w:top="1134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1" w:usb1="08070000" w:usb2="00000010" w:usb3="00000000" w:csb0="00020000" w:csb1="00000000"/>
  </w:font>
  <w:font w:name="TimesNewRoman">
    <w:altName w:val="Times New Roman"/>
    <w:charset w:val="CC"/>
    <w:family w:val="roman"/>
    <w:pitch w:val="variable"/>
  </w:font>
  <w:font w:name="OpenSymbol">
    <w:altName w:val="Segoe UI Symbol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B77C9" w14:textId="37FA4BBD" w:rsidR="0019416B" w:rsidRPr="00A46934" w:rsidRDefault="00A46934" w:rsidP="00A46934">
    <w:pPr>
      <w:pStyle w:val="Footer"/>
      <w:rPr>
        <w:sz w:val="20"/>
        <w:szCs w:val="20"/>
        <w:lang w:val="en-US"/>
      </w:rPr>
    </w:pPr>
    <w:r>
      <w:rPr>
        <w:sz w:val="20"/>
        <w:szCs w:val="20"/>
        <w:lang w:val="en-US"/>
      </w:rPr>
      <w:t>&lt;footer&gt;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502DC" w14:textId="1E162C4C" w:rsidR="0019416B" w:rsidRPr="00A46934" w:rsidRDefault="00A46934" w:rsidP="00313E2B">
    <w:pPr>
      <w:rPr>
        <w:sz w:val="20"/>
        <w:szCs w:val="20"/>
        <w:lang w:val="en-US"/>
      </w:rPr>
    </w:pPr>
    <w:r w:rsidRPr="00A46934">
      <w:rPr>
        <w:sz w:val="20"/>
        <w:szCs w:val="20"/>
        <w:lang w:val="en-US"/>
      </w:rPr>
      <w:t>&lt;header&gt;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6E11F28"/>
    <w:multiLevelType w:val="multilevel"/>
    <w:tmpl w:val="E04ECFFA"/>
    <w:lvl w:ilvl="0">
      <w:start w:val="1"/>
      <w:numFmt w:val="decimal"/>
      <w:pStyle w:val="Heading1"/>
      <w:suff w:val="nothing"/>
      <w:lvlText w:val="%1. "/>
      <w:lvlJc w:val="left"/>
      <w:pPr>
        <w:tabs>
          <w:tab w:pos="0" w:val="num"/>
        </w:tabs>
        <w:ind w:firstLine="0" w:left="0"/>
      </w:pPr>
    </w:lvl>
    <w:lvl w:ilvl="1">
      <w:start w:val="1"/>
      <w:numFmt w:val="decimal"/>
      <w:pStyle w:val="Heading2"/>
      <w:suff w:val="nothing"/>
      <w:lvlText w:val="%1.%2. "/>
      <w:lvlJc w:val="left"/>
      <w:pPr>
        <w:tabs>
          <w:tab w:pos="0" w:val="num"/>
        </w:tabs>
        <w:ind w:firstLine="0" w:left="0"/>
      </w:pPr>
    </w:lvl>
    <w:lvl w:ilvl="2">
      <w:start w:val="1"/>
      <w:numFmt w:val="decimal"/>
      <w:pStyle w:val="Heading3"/>
      <w:suff w:val="nothing"/>
      <w:lvlText w:val="%1.%2.%3. "/>
      <w:lvlJc w:val="left"/>
      <w:pPr>
        <w:tabs>
          <w:tab w:pos="0" w:val="num"/>
        </w:tabs>
        <w:ind w:firstLine="0" w:left="0"/>
      </w:pPr>
    </w:lvl>
    <w:lvl w:ilvl="3">
      <w:start w:val="1"/>
      <w:numFmt w:val="decimal"/>
      <w:pStyle w:val="Heading4"/>
      <w:suff w:val="nothing"/>
      <w:lvlText w:val="%1.%2.%3.%4. 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0646246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0"/>
  <w:embedSystemFonts/>
  <w:proofState w:grammar="clean" w:spelling="clean"/>
  <w:stylePaneFormatFilter w:val="0004"/>
  <w:doNotTrackMoves/>
  <w:defaultTabStop w:val="708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16B"/>
    <w:rsid w:val="00085AD0"/>
    <w:rsid w:val="0019416B"/>
    <w:rsid w:val="0019522C"/>
    <w:rsid w:val="00265BC7"/>
    <w:rsid w:val="00313E2B"/>
    <w:rsid w:val="004009E1"/>
    <w:rsid w:val="00476089"/>
    <w:rsid w:val="005619C8"/>
    <w:rsid w:val="005C1BFE"/>
    <w:rsid w:val="005C3B6B"/>
    <w:rsid w:val="005C47C5"/>
    <w:rsid w:val="006E5F48"/>
    <w:rsid w:val="007F03E7"/>
    <w:rsid w:val="00802EE9"/>
    <w:rsid w:val="00810D87"/>
    <w:rsid w:val="008D786B"/>
    <w:rsid w:val="00A23A71"/>
    <w:rsid w:val="00A46934"/>
    <w:rsid w:val="00A5298C"/>
    <w:rsid w:val="00AB6558"/>
    <w:rsid w:val="00AD0075"/>
    <w:rsid w:val="00B81078"/>
    <w:rsid w:val="00BE2BFB"/>
    <w:rsid w:val="00CE73E4"/>
    <w:rsid w:val="00DA6CC7"/>
    <w:rsid w:val="00E94FA5"/>
    <w:rsid w:val="00F30E49"/>
    <w:rsid w:val="00F642C7"/>
    <w:rsid w:val="00FC6174"/>
  </w:rsids>
  <w:themeFontLang w:bidi="" w:eastAsia=""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ahoma" w:eastAsia="Calibri" w:hAnsi="Calibri"/>
        <w:sz w:val="22"/>
        <w:szCs w:val="22"/>
        <w:lang w:bidi="ar-SA" w:eastAsia="en-US" w:val="ru-RU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20" w:line="276" w:lineRule="auto"/>
      <w:jc w:val="both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pPr>
      <w:keepNext/>
      <w:numPr>
        <w:numId w:val="1"/>
      </w:numPr>
      <w:spacing w:before="240"/>
      <w:outlineLvl w:val="0"/>
    </w:pPr>
    <w:rPr>
      <w:rFonts w:cs="Times New Roman" w:eastAsia="Times New Roman"/>
      <w:b/>
      <w:kern w:val="2"/>
      <w:szCs w:val="20"/>
      <w:lang w:val="en-US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pPr>
      <w:keepNext/>
      <w:numPr>
        <w:ilvl w:val="1"/>
        <w:numId w:val="1"/>
      </w:numPr>
      <w:spacing w:after="113" w:before="238"/>
      <w:outlineLvl w:val="1"/>
    </w:pPr>
    <w:rPr>
      <w:rFonts w:cs="Times New Roman" w:eastAsia="Times New Roman"/>
      <w:b/>
      <w:szCs w:val="20"/>
      <w:lang w:val="en-US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pPr>
      <w:keepNext/>
      <w:numPr>
        <w:ilvl w:val="2"/>
        <w:numId w:val="1"/>
      </w:numPr>
      <w:spacing w:before="200"/>
      <w:outlineLvl w:val="2"/>
    </w:pPr>
    <w:rPr>
      <w:rFonts w:cs="Times New Roman" w:eastAsia="Times New Roman"/>
      <w:b/>
      <w:szCs w:val="20"/>
      <w:lang w:val="en-US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pPr>
      <w:keepNext/>
      <w:numPr>
        <w:ilvl w:val="3"/>
        <w:numId w:val="1"/>
      </w:numPr>
      <w:spacing w:after="0" w:line="240" w:lineRule="auto"/>
      <w:outlineLvl w:val="3"/>
    </w:pPr>
    <w:rPr>
      <w:rFonts w:cs="Times New Roman" w:eastAsia="Times New Roman"/>
      <w:b/>
      <w:szCs w:val="24"/>
      <w:lang w:val="en-US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pPr>
      <w:keepNext/>
      <w:spacing w:after="0" w:line="240" w:lineRule="auto"/>
      <w:outlineLvl w:val="4"/>
    </w:pPr>
    <w:rPr>
      <w:rFonts w:ascii="Verdana" w:cs="Times New Roman" w:eastAsia="Times New Roman" w:hAnsi="Verdana"/>
      <w:szCs w:val="20"/>
      <w:lang w:val="en-US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pPr>
      <w:keepNext/>
      <w:tabs>
        <w:tab w:pos="1998" w:val="left"/>
        <w:tab w:pos="5508" w:val="left"/>
      </w:tabs>
      <w:spacing w:after="0" w:line="240" w:lineRule="auto"/>
      <w:outlineLvl w:val="5"/>
    </w:pPr>
    <w:rPr>
      <w:rFonts w:cs="Times New Roman" w:eastAsia="Times New Roman"/>
      <w:b/>
      <w:szCs w:val="20"/>
      <w:u w:val="single"/>
      <w:lang w:val="en-US"/>
    </w:rPr>
  </w:style>
  <w:style w:styleId="Heading7" w:type="paragraph">
    <w:name w:val="heading 7"/>
    <w:basedOn w:val="Normal"/>
    <w:next w:val="Normal"/>
    <w:link w:val="Heading7Char"/>
    <w:qFormat/>
    <w:pPr>
      <w:keepNext/>
      <w:tabs>
        <w:tab w:pos="2610" w:val="left"/>
        <w:tab w:pos="4500" w:val="left"/>
        <w:tab w:pos="6120" w:val="left"/>
      </w:tabs>
      <w:spacing w:after="0" w:line="240" w:lineRule="auto"/>
      <w:ind w:hanging="6120" w:left="6120"/>
      <w:outlineLvl w:val="6"/>
    </w:pPr>
    <w:rPr>
      <w:rFonts w:cs="Times New Roman" w:eastAsia="Times New Roman"/>
      <w:b/>
      <w:sz w:val="28"/>
      <w:szCs w:val="20"/>
      <w:lang w:val="en-US"/>
    </w:rPr>
  </w:style>
  <w:style w:styleId="Heading8" w:type="paragraph">
    <w:name w:val="heading 8"/>
    <w:basedOn w:val="Normal"/>
    <w:next w:val="Normal"/>
    <w:link w:val="Heading8Char"/>
    <w:qFormat/>
    <w:pPr>
      <w:keepNext/>
      <w:spacing w:after="0" w:line="240" w:lineRule="auto"/>
      <w:jc w:val="center"/>
      <w:outlineLvl w:val="7"/>
    </w:pPr>
    <w:rPr>
      <w:rFonts w:cs="Times New Roman" w:eastAsia="Times New Roman"/>
      <w:b/>
      <w:color w:val="000000"/>
      <w:sz w:val="60"/>
      <w:szCs w:val="20"/>
      <w:lang w:val="en-US"/>
    </w:rPr>
  </w:style>
  <w:style w:styleId="Heading9" w:type="paragraph">
    <w:name w:val="heading 9"/>
    <w:basedOn w:val="Normal"/>
    <w:next w:val="Normal"/>
    <w:link w:val="Heading9Char"/>
    <w:qFormat/>
    <w:pPr>
      <w:keepNext/>
      <w:spacing w:after="0" w:line="240" w:lineRule="auto"/>
      <w:jc w:val="center"/>
      <w:outlineLvl w:val="8"/>
    </w:pPr>
    <w:rPr>
      <w:rFonts w:cs="Times New Roman" w:eastAsia="Times New Roman"/>
      <w:b/>
      <w:color w:val="000000"/>
      <w:sz w:val="56"/>
      <w:szCs w:val="20"/>
      <w:lang w:val="en-US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BalloonTextChar" w:type="character">
    <w:name w:val="Balloon Text Char"/>
    <w:basedOn w:val="DefaultParagraphFont"/>
    <w:link w:val="BalloonText"/>
    <w:qFormat/>
    <w:rPr>
      <w:rFonts w:ascii="Tahoma" w:cs="Tahoma" w:hAnsi="Tahoma"/>
      <w:sz w:val="16"/>
      <w:szCs w:val="16"/>
    </w:rPr>
  </w:style>
  <w:style w:customStyle="1" w:styleId="HeaderChar" w:type="character">
    <w:name w:val="Header Char"/>
    <w:basedOn w:val="DefaultParagraphFont"/>
    <w:link w:val="Header"/>
    <w:qFormat/>
  </w:style>
  <w:style w:customStyle="1" w:styleId="FooterChar" w:type="character">
    <w:name w:val="Footer Char"/>
    <w:basedOn w:val="DefaultParagraphFont"/>
    <w:link w:val="Footer"/>
    <w:qFormat/>
  </w:style>
  <w:style w:customStyle="1" w:styleId="Heading1Char" w:type="character">
    <w:name w:val="Heading 1 Char"/>
    <w:basedOn w:val="DefaultParagraphFont"/>
    <w:link w:val="Heading1"/>
    <w:qFormat/>
    <w:rPr>
      <w:rFonts w:cs="Times New Roman" w:eastAsia="Times New Roman"/>
      <w:b/>
      <w:kern w:val="2"/>
      <w:sz w:val="24"/>
      <w:szCs w:val="20"/>
      <w:lang w:val="en-US"/>
    </w:rPr>
  </w:style>
  <w:style w:customStyle="1" w:styleId="Heading2Char" w:type="character">
    <w:name w:val="Heading 2 Char"/>
    <w:basedOn w:val="DefaultParagraphFont"/>
    <w:link w:val="Heading2"/>
    <w:qFormat/>
    <w:rPr>
      <w:rFonts w:cs="Times New Roman" w:eastAsia="Times New Roman"/>
      <w:b/>
      <w:sz w:val="24"/>
      <w:szCs w:val="20"/>
      <w:lang w:val="en-US"/>
    </w:rPr>
  </w:style>
  <w:style w:customStyle="1" w:styleId="Heading3Char" w:type="character">
    <w:name w:val="Heading 3 Char"/>
    <w:basedOn w:val="DefaultParagraphFont"/>
    <w:link w:val="Heading3"/>
    <w:qFormat/>
    <w:rPr>
      <w:rFonts w:cs="Times New Roman" w:eastAsia="Times New Roman"/>
      <w:b/>
      <w:sz w:val="24"/>
      <w:szCs w:val="20"/>
      <w:lang w:val="en-US"/>
    </w:rPr>
  </w:style>
  <w:style w:customStyle="1" w:styleId="Heading4Char" w:type="character">
    <w:name w:val="Heading 4 Char"/>
    <w:basedOn w:val="DefaultParagraphFont"/>
    <w:link w:val="Heading4"/>
    <w:qFormat/>
    <w:rPr>
      <w:rFonts w:ascii="Verdana" w:cs="Times New Roman" w:eastAsia="Times New Roman" w:hAnsi="Verdana"/>
      <w:b/>
      <w:sz w:val="20"/>
      <w:szCs w:val="20"/>
      <w:vertAlign w:val="subscript"/>
      <w:lang w:val="en-US"/>
    </w:rPr>
  </w:style>
  <w:style w:customStyle="1" w:styleId="Heading5Char" w:type="character">
    <w:name w:val="Heading 5 Char"/>
    <w:basedOn w:val="DefaultParagraphFont"/>
    <w:link w:val="Heading5"/>
    <w:qFormat/>
    <w:rPr>
      <w:rFonts w:ascii="Verdana" w:cs="Times New Roman" w:eastAsia="Times New Roman" w:hAnsi="Verdana"/>
      <w:sz w:val="24"/>
      <w:szCs w:val="20"/>
      <w:lang w:val="en-US"/>
    </w:rPr>
  </w:style>
  <w:style w:customStyle="1" w:styleId="Heading6Char" w:type="character">
    <w:name w:val="Heading 6 Char"/>
    <w:basedOn w:val="DefaultParagraphFont"/>
    <w:link w:val="Heading6"/>
    <w:qFormat/>
    <w:rPr>
      <w:rFonts w:ascii="Times New Roman" w:cs="Times New Roman" w:eastAsia="Times New Roman" w:hAnsi="Times New Roman"/>
      <w:b/>
      <w:sz w:val="24"/>
      <w:szCs w:val="20"/>
      <w:u w:val="single"/>
      <w:lang w:val="en-US"/>
    </w:rPr>
  </w:style>
  <w:style w:customStyle="1" w:styleId="Heading7Char" w:type="character">
    <w:name w:val="Heading 7 Char"/>
    <w:basedOn w:val="DefaultParagraphFont"/>
    <w:link w:val="Heading7"/>
    <w:qFormat/>
    <w:rPr>
      <w:rFonts w:ascii="Times New Roman" w:cs="Times New Roman" w:eastAsia="Times New Roman" w:hAnsi="Times New Roman"/>
      <w:b/>
      <w:sz w:val="28"/>
      <w:szCs w:val="20"/>
      <w:lang w:val="en-US"/>
    </w:rPr>
  </w:style>
  <w:style w:customStyle="1" w:styleId="Heading8Char" w:type="character">
    <w:name w:val="Heading 8 Char"/>
    <w:basedOn w:val="DefaultParagraphFont"/>
    <w:link w:val="Heading8"/>
    <w:qFormat/>
    <w:rPr>
      <w:rFonts w:ascii="Arial" w:cs="Times New Roman" w:eastAsia="Times New Roman" w:hAnsi="Arial"/>
      <w:b/>
      <w:color w:val="000000"/>
      <w:sz w:val="60"/>
      <w:szCs w:val="20"/>
      <w:lang w:val="en-US"/>
    </w:rPr>
  </w:style>
  <w:style w:customStyle="1" w:styleId="Heading9Char" w:type="character">
    <w:name w:val="Heading 9 Char"/>
    <w:basedOn w:val="DefaultParagraphFont"/>
    <w:link w:val="Heading9"/>
    <w:qFormat/>
    <w:rPr>
      <w:rFonts w:ascii="Arial" w:cs="Times New Roman" w:eastAsia="Times New Roman" w:hAnsi="Arial"/>
      <w:b/>
      <w:color w:val="000000"/>
      <w:sz w:val="56"/>
      <w:szCs w:val="20"/>
      <w:lang w:val="en-US"/>
    </w:rPr>
  </w:style>
  <w:style w:styleId="PageNumber" w:type="character">
    <w:name w:val="page number"/>
    <w:basedOn w:val="DefaultParagraphFont"/>
    <w:qFormat/>
  </w:style>
  <w:style w:styleId="CommentReference" w:type="character">
    <w:name w:val="annotation reference"/>
    <w:basedOn w:val="DefaultParagraphFont"/>
    <w:qFormat/>
    <w:rPr>
      <w:sz w:val="16"/>
    </w:rPr>
  </w:style>
  <w:style w:customStyle="1" w:styleId="CommentTextChar" w:type="character">
    <w:name w:val="Comment Text Char"/>
    <w:basedOn w:val="DefaultParagraphFont"/>
    <w:link w:val="CommentText"/>
    <w:qFormat/>
    <w:rPr>
      <w:rFonts w:ascii="Times New Roman" w:cs="Times New Roman" w:eastAsia="Times New Roman" w:hAnsi="Times New Roman"/>
      <w:sz w:val="20"/>
      <w:szCs w:val="20"/>
      <w:lang w:val="en-US"/>
    </w:rPr>
  </w:style>
  <w:style w:customStyle="1" w:styleId="1" w:type="character">
    <w:name w:val="Гиперссылка1"/>
    <w:qFormat/>
    <w:rPr>
      <w:color w:val="000080"/>
      <w:u w:val="single"/>
    </w:rPr>
  </w:style>
  <w:style w:customStyle="1" w:styleId="10" w:type="character">
    <w:name w:val="Просмотренная гиперссылка1"/>
    <w:qFormat/>
    <w:rPr>
      <w:rFonts w:cs="Times New Roman"/>
      <w:color w:val="800080"/>
      <w:u w:val="single"/>
    </w:rPr>
  </w:style>
  <w:style w:customStyle="1" w:styleId="BodyTextChar" w:type="character">
    <w:name w:val="Body Text Char"/>
    <w:basedOn w:val="DefaultParagraphFont"/>
    <w:link w:val="BodyText"/>
    <w:qFormat/>
    <w:rsid w:val="0019522C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qFormat/>
    <w:rPr>
      <w:rFonts w:ascii="Times New Roman" w:cs="Times New Roman" w:eastAsia="Times New Roman" w:hAnsi="Times New Roman"/>
      <w:b/>
      <w:sz w:val="28"/>
      <w:szCs w:val="20"/>
      <w:lang w:val="en-US"/>
    </w:rPr>
  </w:style>
  <w:style w:customStyle="1" w:styleId="SubtitleChar" w:type="character">
    <w:name w:val="Subtitle Char"/>
    <w:basedOn w:val="DefaultParagraphFont"/>
    <w:link w:val="Subtitle"/>
    <w:qFormat/>
    <w:rPr>
      <w:rFonts w:ascii="Times New Roman" w:cs="Times New Roman" w:eastAsia="Times New Roman" w:hAnsi="Times New Roman"/>
      <w:b/>
      <w:sz w:val="24"/>
      <w:szCs w:val="20"/>
      <w:lang w:val="en-US"/>
    </w:rPr>
  </w:style>
  <w:style w:customStyle="1" w:styleId="PlainTextChar" w:type="character">
    <w:name w:val="Plain Text Char"/>
    <w:basedOn w:val="DefaultParagraphFont"/>
    <w:link w:val="PlainText"/>
    <w:qFormat/>
    <w:rPr>
      <w:rFonts w:ascii="Courier New" w:cs="Times New Roman" w:eastAsia="Times New Roman" w:hAnsi="Courier New"/>
      <w:sz w:val="20"/>
      <w:szCs w:val="20"/>
      <w:lang w:val="en-US"/>
    </w:rPr>
  </w:style>
  <w:style w:customStyle="1" w:styleId="BodyTextIndent2Char" w:type="character">
    <w:name w:val="Body Text Indent 2 Char"/>
    <w:basedOn w:val="DefaultParagraphFont"/>
    <w:link w:val="BodyTextIndent2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Indent3Char" w:type="character">
    <w:name w:val="Body Text Indent 3 Char"/>
    <w:basedOn w:val="DefaultParagraphFont"/>
    <w:link w:val="BodyTextIndent3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IndentChar" w:type="character">
    <w:name w:val="Body Text Indent Char"/>
    <w:basedOn w:val="DefaultParagraphFont"/>
    <w:link w:val="BodyTextIndent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BodyText2Char" w:type="character">
    <w:name w:val="Body Text 2 Char"/>
    <w:basedOn w:val="DefaultParagraphFont"/>
    <w:link w:val="BodyText2"/>
    <w:qFormat/>
    <w:rPr>
      <w:rFonts w:ascii="Verdana" w:cs="Times New Roman" w:eastAsia="Times New Roman" w:hAnsi="Verdana"/>
      <w:b/>
      <w:bCs/>
      <w:sz w:val="24"/>
      <w:szCs w:val="20"/>
      <w:lang w:val="en-US"/>
    </w:rPr>
  </w:style>
  <w:style w:customStyle="1" w:styleId="BodyText3Char" w:type="character">
    <w:name w:val="Body Text 3 Char"/>
    <w:basedOn w:val="DefaultParagraphFont"/>
    <w:link w:val="BodyText3"/>
    <w:qFormat/>
    <w:rPr>
      <w:rFonts w:ascii="Verdana" w:cs="Times New Roman" w:eastAsia="Times New Roman" w:hAnsi="Verdana"/>
      <w:b/>
      <w:i/>
      <w:sz w:val="20"/>
      <w:szCs w:val="20"/>
      <w:lang w:val="en-US"/>
    </w:rPr>
  </w:style>
  <w:style w:customStyle="1" w:styleId="CommentSubjectChar" w:type="character">
    <w:name w:val="Comment Subject Char"/>
    <w:basedOn w:val="CommentTextChar"/>
    <w:link w:val="CommentSubject"/>
    <w:qFormat/>
    <w:rPr>
      <w:rFonts w:ascii="Times New Roman" w:cs="Times New Roman" w:eastAsia="Times New Roman" w:hAnsi="Times New Roman"/>
      <w:b/>
      <w:bCs/>
      <w:sz w:val="20"/>
      <w:szCs w:val="20"/>
      <w:lang w:val="en-US"/>
    </w:rPr>
  </w:style>
  <w:style w:customStyle="1" w:styleId="DocumentMapChar" w:type="character">
    <w:name w:val="Document Map Char"/>
    <w:basedOn w:val="DefaultParagraphFont"/>
    <w:link w:val="DocumentMap"/>
    <w:qFormat/>
    <w:rPr>
      <w:rFonts w:ascii="Tahoma" w:cs="Tahoma" w:eastAsia="Times New Roman" w:hAnsi="Tahoma"/>
      <w:sz w:val="20"/>
      <w:szCs w:val="20"/>
      <w:shd w:color="auto" w:fill="000080" w:val="clear"/>
      <w:lang w:val="en-US"/>
    </w:rPr>
  </w:style>
  <w:style w:customStyle="1" w:styleId="HTMLPreformattedChar" w:type="character">
    <w:name w:val="HTML Preformatted Char"/>
    <w:basedOn w:val="DefaultParagraphFont"/>
    <w:link w:val="HTMLPreformatted"/>
    <w:qFormat/>
    <w:rPr>
      <w:rFonts w:ascii="Courier New" w:cs="Courier New" w:eastAsia="Times New Roman" w:hAnsi="Courier New"/>
      <w:sz w:val="20"/>
      <w:szCs w:val="20"/>
      <w:lang w:eastAsia="et-EE" w:val="et-EE"/>
    </w:rPr>
  </w:style>
  <w:style w:styleId="Strong" w:type="character">
    <w:name w:val="Strong"/>
    <w:basedOn w:val="DefaultParagraphFont"/>
    <w:qFormat/>
    <w:rPr>
      <w:b/>
      <w:bCs/>
    </w:rPr>
  </w:style>
  <w:style w:styleId="Emphasis" w:type="character">
    <w:name w:val="Emphasis"/>
    <w:basedOn w:val="DefaultParagraphFont"/>
    <w:qFormat/>
    <w:rPr>
      <w:i/>
      <w:iCs/>
    </w:rPr>
  </w:style>
  <w:style w:customStyle="1" w:styleId="inhalt11" w:type="character">
    <w:name w:val="inhalt11"/>
    <w:basedOn w:val="DefaultParagraphFont"/>
    <w:qFormat/>
  </w:style>
  <w:style w:customStyle="1" w:styleId="AgnieszkaNeska" w:type="character">
    <w:name w:val="Agnieszka Neska"/>
    <w:basedOn w:val="DefaultParagraphFont"/>
    <w:qFormat/>
    <w:rPr>
      <w:rFonts w:ascii="Arial" w:cs="Arial" w:hAnsi="Arial"/>
      <w:color w:val="000080"/>
      <w:sz w:val="20"/>
      <w:szCs w:val="20"/>
    </w:rPr>
  </w:style>
  <w:style w:customStyle="1" w:styleId="E-mailSignatureChar" w:type="character">
    <w:name w:val="E-mail Signature Char"/>
    <w:basedOn w:val="DefaultParagraphFont"/>
    <w:link w:val="E-mailSignature"/>
    <w:qFormat/>
    <w:rPr>
      <w:sz w:val="24"/>
      <w:szCs w:val="24"/>
      <w:lang w:eastAsia="ru-RU"/>
    </w:rPr>
  </w:style>
  <w:style w:customStyle="1" w:styleId="11" w:type="character">
    <w:name w:val="Электронная подпись Знак1"/>
    <w:basedOn w:val="DefaultParagraphFont"/>
    <w:qFormat/>
  </w:style>
  <w:style w:customStyle="1" w:styleId="ParagraphChar" w:type="character">
    <w:name w:val="Paragraph Char"/>
    <w:basedOn w:val="DefaultParagraphFont"/>
    <w:link w:val="Paragraph"/>
    <w:qFormat/>
    <w:rPr>
      <w:rFonts w:ascii="Times New Roman" w:cs="Times New Roman" w:eastAsia="Arial" w:hAnsi="Times New Roman"/>
      <w:sz w:val="24"/>
      <w:szCs w:val="24"/>
      <w:lang w:val="en-US"/>
    </w:rPr>
  </w:style>
  <w:style w:customStyle="1" w:styleId="TextChar" w:type="character">
    <w:name w:val="Text Char"/>
    <w:basedOn w:val="DefaultParagraphFont"/>
    <w:qFormat/>
    <w:rPr>
      <w:rFonts w:ascii="Times New Roman" w:cs="Times New Roman" w:eastAsia="Times New Roman" w:hAnsi="Times New Roman"/>
      <w:sz w:val="24"/>
      <w:szCs w:val="20"/>
      <w:lang w:val="en-US"/>
    </w:rPr>
  </w:style>
  <w:style w:customStyle="1" w:styleId="EndnoteTextChar" w:type="character">
    <w:name w:val="Endnote Text Char"/>
    <w:basedOn w:val="DefaultParagraphFont"/>
    <w:link w:val="EndnoteText"/>
    <w:qFormat/>
    <w:rPr>
      <w:rFonts w:ascii="Courier New" w:cs="Times New Roman" w:eastAsia="Times New Roman" w:hAnsi="Courier New"/>
      <w:sz w:val="24"/>
      <w:szCs w:val="20"/>
      <w:lang w:bidi="en-US" w:val="en-US"/>
    </w:rPr>
  </w:style>
  <w:style w:customStyle="1" w:styleId="a" w:type="character">
    <w:name w:val="Символ концевой сноски"/>
    <w:qFormat/>
    <w:rPr>
      <w:rFonts w:cs="Times New Roman"/>
      <w:vertAlign w:val="superscript"/>
    </w:rPr>
  </w:style>
  <w:style w:customStyle="1" w:styleId="EndnoteCharacters" w:type="character">
    <w:name w:val="Endnote Characters"/>
    <w:qFormat/>
    <w:rPr>
      <w:rFonts w:cs="Times New Roman"/>
    </w:rPr>
  </w:style>
  <w:style w:customStyle="1" w:styleId="EndnoteAnchor" w:type="character">
    <w:name w:val="Endnote Anchor"/>
    <w:qFormat/>
    <w:rPr>
      <w:rFonts w:cs="Times New Roman"/>
      <w:vertAlign w:val="superscript"/>
    </w:rPr>
  </w:style>
  <w:style w:styleId="PlaceholderText" w:type="character">
    <w:name w:val="Placeholder Text"/>
    <w:basedOn w:val="DefaultParagraphFont"/>
    <w:qFormat/>
    <w:rPr>
      <w:color w:val="808080"/>
    </w:rPr>
  </w:style>
  <w:style w:customStyle="1" w:styleId="fontstyle01" w:type="character">
    <w:name w:val="fontstyle01"/>
    <w:basedOn w:val="DefaultParagraphFont"/>
    <w:qFormat/>
    <w:rPr>
      <w:rFonts w:ascii="TimesNewRomanPSMT" w:hAnsi="TimesNewRomanPSMT"/>
      <w:b w:val="0"/>
      <w:bCs w:val="0"/>
      <w:i w:val="0"/>
      <w:iCs w:val="0"/>
      <w:color w:val="000000"/>
      <w:sz w:val="24"/>
      <w:szCs w:val="24"/>
    </w:rPr>
  </w:style>
  <w:style w:customStyle="1" w:styleId="SDmain" w:type="character">
    <w:name w:val="SD_main Знак"/>
    <w:basedOn w:val="DefaultParagraphFont"/>
    <w:link w:val="SDmain0"/>
    <w:qFormat/>
    <w:rPr>
      <w:rFonts w:cs="Times New Roman" w:eastAsia="Times New Roman"/>
      <w:sz w:val="24"/>
      <w:szCs w:val="24"/>
      <w:lang w:eastAsia="ru-RU"/>
    </w:rPr>
  </w:style>
  <w:style w:customStyle="1" w:styleId="fontstyle21" w:type="character">
    <w:name w:val="fontstyle21"/>
    <w:basedOn w:val="DefaultParagraphFont"/>
    <w:qFormat/>
    <w:rPr>
      <w:rFonts w:ascii="TimesNewRoman" w:hAnsi="TimesNewRoman"/>
      <w:b/>
      <w:bCs/>
      <w:i w:val="0"/>
      <w:iCs w:val="0"/>
      <w:color w:val="000000"/>
      <w:sz w:val="24"/>
      <w:szCs w:val="24"/>
    </w:rPr>
  </w:style>
  <w:style w:styleId="UnresolvedMention" w:type="character">
    <w:name w:val="Unresolved Mention"/>
    <w:basedOn w:val="DefaultParagraphFont"/>
    <w:qFormat/>
    <w:rPr>
      <w:color w:val="605E5C"/>
      <w:shd w:color="auto" w:fill="E1DFDD" w:val="clear"/>
    </w:rPr>
  </w:style>
  <w:style w:customStyle="1" w:styleId="a0" w:type="character">
    <w:name w:val="Ссылка указателя"/>
    <w:qFormat/>
  </w:style>
  <w:style w:customStyle="1" w:styleId="a1" w:type="character">
    <w:name w:val="Маркеры"/>
    <w:qFormat/>
    <w:rPr>
      <w:rFonts w:ascii="OpenSymbol" w:cs="OpenSymbol" w:eastAsia="OpenSymbol" w:hAnsi="OpenSymbol"/>
    </w:rPr>
  </w:style>
  <w:style w:customStyle="1" w:styleId="2" w:type="character">
    <w:name w:val="Обычный 2 Знак"/>
    <w:basedOn w:val="DefaultParagraphFont"/>
    <w:qFormat/>
    <w:rPr>
      <w:rFonts w:ascii="Times New Roman" w:cs="Calibri" w:eastAsia="Calibri" w:hAnsi="Times New Roman"/>
      <w:color w:val="000000"/>
      <w:sz w:val="24"/>
      <w:szCs w:val="24"/>
      <w:lang w:bidi="ru-RU" w:eastAsia="en-US"/>
    </w:rPr>
  </w:style>
  <w:style w:customStyle="1" w:styleId="a2" w:type="character">
    <w:name w:val="Символ нумерации"/>
    <w:qFormat/>
  </w:style>
  <w:style w:customStyle="1" w:styleId="a3" w:type="character">
    <w:name w:val="Символ сноски"/>
    <w:qFormat/>
    <w:rPr>
      <w:vertAlign w:val="superscript"/>
    </w:rPr>
  </w:style>
  <w:style w:customStyle="1" w:styleId="FootnoteCharacters" w:type="character">
    <w:name w:val="Footnote Characters"/>
    <w:qFormat/>
    <w:rPr>
      <w:vertAlign w:val="superscript"/>
    </w:rPr>
  </w:style>
  <w:style w:customStyle="1" w:styleId="FootnoteAnchor" w:type="character">
    <w:name w:val="Footnote Anchor"/>
    <w:qFormat/>
    <w:rPr>
      <w:vertAlign w:val="superscript"/>
    </w:rPr>
  </w:style>
  <w:style w:customStyle="1" w:styleId="FontStyle74" w:type="character">
    <w:name w:val="Font Style74"/>
    <w:qFormat/>
    <w:rPr>
      <w:rFonts w:ascii="Times New Roman" w:cs="Times New Roman" w:hAnsi="Times New Roman"/>
      <w:sz w:val="20"/>
      <w:szCs w:val="20"/>
    </w:rPr>
  </w:style>
  <w:style w:customStyle="1" w:styleId="cf01" w:type="character">
    <w:name w:val="cf01"/>
    <w:basedOn w:val="DefaultParagraphFont"/>
    <w:qFormat/>
    <w:rPr>
      <w:rFonts w:ascii="Segoe UI" w:cs="Segoe UI" w:hAnsi="Segoe UI"/>
      <w:sz w:val="18"/>
      <w:szCs w:val="18"/>
    </w:rPr>
  </w:style>
  <w:style w:customStyle="1" w:styleId="LineNumbering" w:type="character">
    <w:name w:val="Line Numbering"/>
    <w:qFormat/>
  </w:style>
  <w:style w:customStyle="1" w:styleId="WW8Num49z0" w:type="character">
    <w:name w:val="WW8Num49z0"/>
    <w:qFormat/>
    <w:rPr>
      <w:rFonts w:ascii="Times New Roman" w:cs="Times New Roman" w:eastAsia="Times New Roman" w:hAnsi="Times New Roman"/>
    </w:rPr>
  </w:style>
  <w:style w:customStyle="1" w:styleId="WW8Num32z0" w:type="character">
    <w:name w:val="WW8Num32z0"/>
    <w:qFormat/>
    <w:rPr>
      <w:rFonts w:ascii="Symbol" w:cs="Symbol" w:hAnsi="Symbol"/>
    </w:rPr>
  </w:style>
  <w:style w:customStyle="1" w:styleId="WW8Num32z1" w:type="character">
    <w:name w:val="WW8Num32z1"/>
    <w:qFormat/>
    <w:rPr>
      <w:rFonts w:ascii="Courier New" w:cs="Courier New" w:hAnsi="Courier New"/>
    </w:rPr>
  </w:style>
  <w:style w:customStyle="1" w:styleId="WW8Num32z2" w:type="character">
    <w:name w:val="WW8Num32z2"/>
    <w:qFormat/>
    <w:rPr>
      <w:rFonts w:ascii="Wingdings" w:cs="Wingdings" w:hAnsi="Wingdings"/>
    </w:rPr>
  </w:style>
  <w:style w:customStyle="1" w:styleId="WW8Num41z0" w:type="character">
    <w:name w:val="WW8Num41z0"/>
    <w:qFormat/>
    <w:rPr>
      <w:rFonts w:ascii="Times New Roman" w:cs="Times New Roman" w:hAnsi="Times New Roman"/>
    </w:rPr>
  </w:style>
  <w:style w:customStyle="1" w:styleId="WW8Num41z1" w:type="character">
    <w:name w:val="WW8Num41z1"/>
    <w:qFormat/>
    <w:rPr>
      <w:rFonts w:ascii="Courier New" w:cs="Courier New" w:hAnsi="Courier New"/>
    </w:rPr>
  </w:style>
  <w:style w:customStyle="1" w:styleId="WW8Num41z2" w:type="character">
    <w:name w:val="WW8Num41z2"/>
    <w:qFormat/>
    <w:rPr>
      <w:rFonts w:ascii="Wingdings" w:cs="Wingdings" w:hAnsi="Wingdings"/>
    </w:rPr>
  </w:style>
  <w:style w:customStyle="1" w:styleId="WW8Num41z3" w:type="character">
    <w:name w:val="WW8Num41z3"/>
    <w:qFormat/>
    <w:rPr>
      <w:rFonts w:ascii="Symbol" w:cs="Symbol" w:hAnsi="Symbol"/>
    </w:rPr>
  </w:style>
  <w:style w:customStyle="1" w:styleId="Bullets" w:type="character">
    <w:name w:val="Bullets"/>
    <w:qFormat/>
    <w:rPr>
      <w:rFonts w:ascii="OpenSymbol" w:cs="OpenSymbol" w:eastAsia="OpenSymbol" w:hAnsi="OpenSymbol"/>
    </w:rPr>
  </w:style>
  <w:style w:customStyle="1" w:styleId="WW8Num27z0" w:type="character">
    <w:name w:val="WW8Num27z0"/>
    <w:qFormat/>
    <w:rPr>
      <w:rFonts w:ascii="Wingdings" w:cs="Wingdings" w:hAnsi="Wingdings"/>
    </w:rPr>
  </w:style>
  <w:style w:customStyle="1" w:styleId="WW8Num27z1" w:type="character">
    <w:name w:val="WW8Num27z1"/>
    <w:qFormat/>
    <w:rPr>
      <w:rFonts w:ascii="Courier New" w:cs="Courier New" w:hAnsi="Courier New"/>
    </w:rPr>
  </w:style>
  <w:style w:customStyle="1" w:styleId="WW8Num27z3" w:type="character">
    <w:name w:val="WW8Num27z3"/>
    <w:qFormat/>
    <w:rPr>
      <w:rFonts w:ascii="Symbol" w:cs="Symbol" w:hAnsi="Symbol"/>
    </w:rPr>
  </w:style>
  <w:style w:customStyle="1" w:styleId="WW8Num18z0" w:type="character">
    <w:name w:val="WW8Num18z0"/>
    <w:qFormat/>
    <w:rPr>
      <w:rFonts w:ascii="Symbol" w:cs="Symbol" w:hAnsi="Symbol"/>
    </w:rPr>
  </w:style>
  <w:style w:customStyle="1" w:styleId="WW8Num18z1" w:type="character">
    <w:name w:val="WW8Num18z1"/>
    <w:qFormat/>
    <w:rPr>
      <w:rFonts w:ascii="Courier New" w:cs="Courier New" w:hAnsi="Courier New"/>
    </w:rPr>
  </w:style>
  <w:style w:customStyle="1" w:styleId="WW8Num18z2" w:type="character">
    <w:name w:val="WW8Num18z2"/>
    <w:qFormat/>
    <w:rPr>
      <w:rFonts w:ascii="Wingdings" w:cs="Wingdings" w:hAnsi="Wingdings"/>
    </w:rPr>
  </w:style>
  <w:style w:customStyle="1" w:styleId="WW8Num31z0" w:type="character">
    <w:name w:val="WW8Num31z0"/>
    <w:qFormat/>
    <w:rPr>
      <w:rFonts w:ascii="Times New Roman" w:cs="Times New Roman" w:hAnsi="Times New Roman"/>
      <w:sz w:val="24"/>
      <w:szCs w:val="24"/>
    </w:rPr>
  </w:style>
  <w:style w:customStyle="1" w:styleId="WW8Num31z1" w:type="character">
    <w:name w:val="WW8Num31z1"/>
    <w:qFormat/>
    <w:rPr>
      <w:rFonts w:ascii="Courier New" w:cs="Courier New" w:hAnsi="Courier New"/>
    </w:rPr>
  </w:style>
  <w:style w:customStyle="1" w:styleId="WW8Num31z2" w:type="character">
    <w:name w:val="WW8Num31z2"/>
    <w:qFormat/>
    <w:rPr>
      <w:rFonts w:ascii="Wingdings" w:cs="Wingdings" w:hAnsi="Wingdings"/>
    </w:rPr>
  </w:style>
  <w:style w:customStyle="1" w:styleId="WW8Num31z3" w:type="character">
    <w:name w:val="WW8Num31z3"/>
    <w:qFormat/>
    <w:rPr>
      <w:rFonts w:ascii="Symbol" w:cs="Symbol" w:hAnsi="Symbol"/>
    </w:rPr>
  </w:style>
  <w:style w:customStyle="1" w:styleId="WW8Num29z0" w:type="character">
    <w:name w:val="WW8Num29z0"/>
    <w:qFormat/>
    <w:rPr>
      <w:rFonts w:ascii="Symbol" w:cs="Symbol" w:hAnsi="Symbol"/>
    </w:rPr>
  </w:style>
  <w:style w:customStyle="1" w:styleId="WW8Num29z1" w:type="character">
    <w:name w:val="WW8Num29z1"/>
    <w:qFormat/>
    <w:rPr>
      <w:rFonts w:ascii="Courier New" w:cs="Courier New" w:hAnsi="Courier New"/>
    </w:rPr>
  </w:style>
  <w:style w:customStyle="1" w:styleId="WW8Num29z2" w:type="character">
    <w:name w:val="WW8Num29z2"/>
    <w:qFormat/>
    <w:rPr>
      <w:rFonts w:ascii="Wingdings" w:cs="Wingdings" w:hAnsi="Wingdings"/>
    </w:rPr>
  </w:style>
  <w:style w:styleId="Title" w:type="paragraph">
    <w:name w:val="Title"/>
    <w:basedOn w:val="Normal"/>
    <w:next w:val="BodyText"/>
    <w:link w:val="TitleChar"/>
    <w:uiPriority w:val="10"/>
    <w:qFormat/>
    <w:pPr>
      <w:tabs>
        <w:tab w:pos="2340" w:val="left"/>
        <w:tab w:pos="4050" w:val="left"/>
        <w:tab w:pos="5400" w:val="left"/>
      </w:tabs>
      <w:spacing w:after="0" w:line="240" w:lineRule="auto"/>
      <w:jc w:val="center"/>
    </w:pPr>
    <w:rPr>
      <w:rFonts w:cs="Times New Roman" w:eastAsia="Times New Roman"/>
      <w:b/>
      <w:sz w:val="28"/>
      <w:szCs w:val="20"/>
      <w:lang w:val="en-US"/>
    </w:rPr>
  </w:style>
  <w:style w:styleId="BodyText" w:type="paragraph">
    <w:name w:val="Body Text"/>
    <w:basedOn w:val="Normal"/>
    <w:link w:val="BodyTextChar"/>
    <w:rsid w:val="0019522C"/>
  </w:style>
  <w:style w:styleId="List" w:type="paragraph">
    <w:name w:val="List"/>
    <w:basedOn w:val="BodyText"/>
    <w:rPr>
      <w:rFonts w:cs="Arial"/>
    </w:rPr>
  </w:style>
  <w:style w:styleId="Caption" w:type="paragraph">
    <w:name w:val="caption"/>
    <w:basedOn w:val="Normal"/>
    <w:next w:val="Normal"/>
    <w:qFormat/>
    <w:pPr>
      <w:spacing w:after="200"/>
    </w:pPr>
    <w:rPr>
      <w:rFonts w:cs="Times New Roman"/>
      <w:b/>
      <w:bCs/>
      <w:sz w:val="20"/>
      <w:szCs w:val="20"/>
    </w:rPr>
  </w:style>
  <w:style w:styleId="IndexHeading" w:type="paragraph">
    <w:name w:val="index heading"/>
    <w:basedOn w:val="Title"/>
  </w:style>
  <w:style w:styleId="BalloonText" w:type="paragraph">
    <w:name w:val="Balloon Text"/>
    <w:basedOn w:val="Normal"/>
    <w:link w:val="BalloonTextChar"/>
    <w:qFormat/>
    <w:pPr>
      <w:spacing w:after="0" w:line="240" w:lineRule="auto"/>
    </w:pPr>
    <w:rPr>
      <w:rFonts w:ascii="Tahoma" w:hAnsi="Tahoma"/>
      <w:sz w:val="16"/>
      <w:szCs w:val="16"/>
    </w:rPr>
  </w:style>
  <w:style w:customStyle="1" w:styleId="a4" w:type="paragraph">
    <w:name w:val="Колонтитул"/>
    <w:basedOn w:val="Normal"/>
    <w:qFormat/>
  </w:style>
  <w:style w:styleId="Header" w:type="paragraph">
    <w:name w:val="header"/>
    <w:basedOn w:val="Normal"/>
    <w:link w:val="HeaderChar"/>
    <w:pPr>
      <w:tabs>
        <w:tab w:pos="4677" w:val="center"/>
        <w:tab w:pos="9355" w:val="right"/>
      </w:tabs>
      <w:spacing w:after="0" w:line="240" w:lineRule="auto"/>
    </w:pPr>
  </w:style>
  <w:style w:styleId="Footer" w:type="paragraph">
    <w:name w:val="footer"/>
    <w:basedOn w:val="Normal"/>
    <w:link w:val="FooterChar"/>
    <w:pPr>
      <w:tabs>
        <w:tab w:pos="4677" w:val="center"/>
        <w:tab w:pos="9355" w:val="right"/>
      </w:tabs>
      <w:spacing w:after="0" w:line="240" w:lineRule="auto"/>
    </w:pPr>
  </w:style>
  <w:style w:styleId="ListParagraph" w:type="paragraph">
    <w:name w:val="List Paragraph"/>
    <w:basedOn w:val="Normal"/>
    <w:qFormat/>
    <w:pPr>
      <w:spacing w:after="200"/>
      <w:ind w:left="720"/>
      <w:contextualSpacing/>
    </w:pPr>
    <w:rPr>
      <w:rFonts w:cs="Times New Roman"/>
    </w:rPr>
  </w:style>
  <w:style w:styleId="TOC1" w:type="paragraph">
    <w:name w:val="toc 1"/>
    <w:basedOn w:val="Normal"/>
    <w:next w:val="Normal"/>
    <w:pPr>
      <w:spacing w:before="120"/>
      <w:jc w:val="left"/>
    </w:pPr>
    <w:rPr>
      <w:rFonts w:cs="Calibri"/>
      <w:b/>
      <w:bCs/>
      <w:caps/>
      <w:sz w:val="20"/>
      <w:szCs w:val="20"/>
    </w:rPr>
  </w:style>
  <w:style w:styleId="TOC2" w:type="paragraph">
    <w:name w:val="toc 2"/>
    <w:basedOn w:val="Normal"/>
    <w:next w:val="Normal"/>
    <w:pPr>
      <w:spacing w:after="0"/>
      <w:ind w:left="240"/>
      <w:jc w:val="left"/>
    </w:pPr>
    <w:rPr>
      <w:rFonts w:cs="Calibri"/>
      <w:smallCaps/>
      <w:sz w:val="20"/>
      <w:szCs w:val="20"/>
    </w:rPr>
  </w:style>
  <w:style w:styleId="TOC3" w:type="paragraph">
    <w:name w:val="toc 3"/>
    <w:basedOn w:val="Normal"/>
    <w:next w:val="Normal"/>
    <w:pPr>
      <w:spacing w:after="0"/>
      <w:ind w:left="480"/>
      <w:jc w:val="left"/>
    </w:pPr>
    <w:rPr>
      <w:rFonts w:cs="Calibri"/>
      <w:iCs/>
      <w:sz w:val="20"/>
      <w:szCs w:val="20"/>
    </w:rPr>
  </w:style>
  <w:style w:styleId="TOC4" w:type="paragraph">
    <w:name w:val="toc 4"/>
    <w:basedOn w:val="Normal"/>
    <w:next w:val="Normal"/>
    <w:pPr>
      <w:spacing w:after="0"/>
      <w:ind w:left="720"/>
      <w:jc w:val="left"/>
    </w:pPr>
    <w:rPr>
      <w:rFonts w:cs="Calibri"/>
      <w:i/>
      <w:sz w:val="18"/>
      <w:szCs w:val="18"/>
    </w:rPr>
  </w:style>
  <w:style w:styleId="TOC5" w:type="paragraph">
    <w:name w:val="toc 5"/>
    <w:basedOn w:val="Normal"/>
    <w:next w:val="Normal"/>
    <w:pPr>
      <w:spacing w:after="0"/>
      <w:ind w:left="960"/>
      <w:jc w:val="left"/>
    </w:pPr>
    <w:rPr>
      <w:rFonts w:cs="Calibri"/>
      <w:sz w:val="18"/>
      <w:szCs w:val="18"/>
    </w:rPr>
  </w:style>
  <w:style w:styleId="TOC6" w:type="paragraph">
    <w:name w:val="toc 6"/>
    <w:basedOn w:val="Normal"/>
    <w:next w:val="Normal"/>
    <w:pPr>
      <w:spacing w:after="0"/>
      <w:ind w:left="1200"/>
      <w:jc w:val="left"/>
    </w:pPr>
    <w:rPr>
      <w:rFonts w:cs="Calibri"/>
      <w:sz w:val="18"/>
      <w:szCs w:val="18"/>
    </w:rPr>
  </w:style>
  <w:style w:styleId="TOC7" w:type="paragraph">
    <w:name w:val="toc 7"/>
    <w:basedOn w:val="Normal"/>
    <w:next w:val="Normal"/>
    <w:pPr>
      <w:spacing w:after="0"/>
      <w:ind w:left="1440"/>
      <w:jc w:val="left"/>
    </w:pPr>
    <w:rPr>
      <w:rFonts w:cs="Calibri"/>
      <w:sz w:val="18"/>
      <w:szCs w:val="18"/>
    </w:rPr>
  </w:style>
  <w:style w:styleId="TOC8" w:type="paragraph">
    <w:name w:val="toc 8"/>
    <w:basedOn w:val="Normal"/>
    <w:next w:val="Normal"/>
    <w:pPr>
      <w:spacing w:after="0"/>
      <w:ind w:left="1680"/>
      <w:jc w:val="left"/>
    </w:pPr>
    <w:rPr>
      <w:rFonts w:cs="Calibri"/>
      <w:sz w:val="18"/>
      <w:szCs w:val="18"/>
    </w:rPr>
  </w:style>
  <w:style w:styleId="TOC9" w:type="paragraph">
    <w:name w:val="toc 9"/>
    <w:basedOn w:val="Normal"/>
    <w:next w:val="Normal"/>
    <w:pPr>
      <w:spacing w:after="0"/>
      <w:ind w:left="1920"/>
      <w:jc w:val="left"/>
    </w:pPr>
    <w:rPr>
      <w:rFonts w:cs="Calibri"/>
      <w:sz w:val="18"/>
      <w:szCs w:val="18"/>
    </w:rPr>
  </w:style>
  <w:style w:styleId="CommentText" w:type="paragraph">
    <w:name w:val="annotation text"/>
    <w:basedOn w:val="Normal"/>
    <w:link w:val="CommentTextChar"/>
    <w:qFormat/>
    <w:pPr>
      <w:spacing w:after="0" w:line="240" w:lineRule="auto"/>
    </w:pPr>
    <w:rPr>
      <w:rFonts w:cs="Times New Roman" w:eastAsia="Times New Roman"/>
      <w:sz w:val="20"/>
      <w:szCs w:val="20"/>
      <w:lang w:val="en-US"/>
    </w:rPr>
  </w:style>
  <w:style w:styleId="Subtitle" w:type="paragraph">
    <w:name w:val="Subtitle"/>
    <w:basedOn w:val="Normal"/>
    <w:link w:val="SubtitleChar"/>
    <w:uiPriority w:val="11"/>
    <w:qFormat/>
    <w:pPr>
      <w:tabs>
        <w:tab w:pos="2610" w:val="left"/>
        <w:tab w:pos="4500" w:val="left"/>
        <w:tab w:pos="6120" w:val="left"/>
      </w:tabs>
      <w:spacing w:after="0" w:line="240" w:lineRule="auto"/>
      <w:ind w:hanging="6120" w:left="6120"/>
    </w:pPr>
    <w:rPr>
      <w:rFonts w:cs="Times New Roman" w:eastAsia="Times New Roman"/>
      <w:b/>
      <w:szCs w:val="20"/>
      <w:lang w:val="en-US"/>
    </w:rPr>
  </w:style>
  <w:style w:styleId="PlainText" w:type="paragraph">
    <w:name w:val="Plain Text"/>
    <w:basedOn w:val="Normal"/>
    <w:link w:val="PlainTextChar"/>
    <w:qFormat/>
    <w:pPr>
      <w:tabs>
        <w:tab w:pos="1080" w:val="left"/>
      </w:tabs>
      <w:spacing w:after="60" w:before="60" w:line="240" w:lineRule="auto"/>
    </w:pPr>
    <w:rPr>
      <w:rFonts w:cs="Times New Roman" w:eastAsia="Times New Roman"/>
      <w:szCs w:val="20"/>
      <w:lang w:val="en-US"/>
    </w:rPr>
  </w:style>
  <w:style w:styleId="BodyTextIndent2" w:type="paragraph">
    <w:name w:val="Body Text Indent 2"/>
    <w:basedOn w:val="Normal"/>
    <w:link w:val="BodyTextIndent2Char"/>
    <w:qFormat/>
    <w:pPr>
      <w:spacing w:after="0" w:line="240" w:lineRule="auto"/>
      <w:ind w:hanging="180" w:left="180"/>
    </w:pPr>
    <w:rPr>
      <w:rFonts w:cs="Times New Roman" w:eastAsia="Times New Roman"/>
      <w:szCs w:val="20"/>
      <w:lang w:val="en-US"/>
    </w:rPr>
  </w:style>
  <w:style w:styleId="BodyTextIndent3" w:type="paragraph">
    <w:name w:val="Body Text Indent 3"/>
    <w:basedOn w:val="Normal"/>
    <w:link w:val="BodyTextIndent3Char"/>
    <w:qFormat/>
    <w:pPr>
      <w:spacing w:after="0" w:line="240" w:lineRule="auto"/>
      <w:ind w:hanging="270" w:left="270"/>
    </w:pPr>
    <w:rPr>
      <w:rFonts w:cs="Times New Roman" w:eastAsia="Times New Roman"/>
      <w:szCs w:val="20"/>
      <w:lang w:val="en-US"/>
    </w:rPr>
  </w:style>
  <w:style w:styleId="BodyTextIndent" w:type="paragraph">
    <w:name w:val="Body Text Indent"/>
    <w:basedOn w:val="Normal"/>
    <w:link w:val="BodyTextIndentChar"/>
    <w:pPr>
      <w:tabs>
        <w:tab w:pos="2340" w:val="left"/>
        <w:tab w:pos="4320" w:val="left"/>
        <w:tab w:pos="6120" w:val="left"/>
      </w:tabs>
      <w:spacing w:after="0" w:line="240" w:lineRule="auto"/>
      <w:ind w:hanging="6120" w:left="6120"/>
    </w:pPr>
    <w:rPr>
      <w:rFonts w:cs="Times New Roman" w:eastAsia="Times New Roman"/>
      <w:szCs w:val="20"/>
      <w:lang w:val="en-US"/>
    </w:rPr>
  </w:style>
  <w:style w:styleId="BodyText2" w:type="paragraph">
    <w:name w:val="Body Text 2"/>
    <w:basedOn w:val="Normal"/>
    <w:link w:val="BodyText2Char"/>
    <w:qFormat/>
    <w:pPr>
      <w:spacing w:after="0" w:line="240" w:lineRule="auto"/>
      <w:jc w:val="center"/>
    </w:pPr>
    <w:rPr>
      <w:rFonts w:ascii="Verdana" w:cs="Times New Roman" w:eastAsia="Times New Roman" w:hAnsi="Verdana"/>
      <w:b/>
      <w:bCs/>
      <w:szCs w:val="20"/>
      <w:lang w:val="en-US"/>
    </w:rPr>
  </w:style>
  <w:style w:styleId="BodyText3" w:type="paragraph">
    <w:name w:val="Body Text 3"/>
    <w:basedOn w:val="Normal"/>
    <w:link w:val="BodyText3Char"/>
    <w:qFormat/>
    <w:pPr>
      <w:spacing w:after="0" w:line="240" w:lineRule="auto"/>
    </w:pPr>
    <w:rPr>
      <w:rFonts w:ascii="Verdana" w:cs="Times New Roman" w:eastAsia="Times New Roman" w:hAnsi="Verdana"/>
      <w:b/>
      <w:i/>
      <w:sz w:val="20"/>
      <w:szCs w:val="20"/>
      <w:lang w:val="en-US"/>
    </w:rPr>
  </w:style>
  <w:style w:customStyle="1" w:styleId="a5" w:type="paragraph">
    <w:name w:val="_"/>
    <w:basedOn w:val="Normal"/>
    <w:qFormat/>
    <w:pPr>
      <w:widowControl w:val="0"/>
      <w:spacing w:after="0" w:line="240" w:lineRule="auto"/>
      <w:ind w:hanging="792" w:left="342"/>
    </w:pPr>
    <w:rPr>
      <w:rFonts w:cs="Times New Roman" w:eastAsia="Times New Roman"/>
      <w:szCs w:val="20"/>
      <w:lang w:val="en-US"/>
    </w:rPr>
  </w:style>
  <w:style w:styleId="CommentSubject" w:type="paragraph">
    <w:name w:val="annotation subject"/>
    <w:basedOn w:val="CommentText"/>
    <w:next w:val="CommentText"/>
    <w:link w:val="CommentSubjectChar"/>
    <w:qFormat/>
    <w:rPr>
      <w:b/>
      <w:bCs/>
    </w:rPr>
  </w:style>
  <w:style w:styleId="DocumentMap" w:type="paragraph">
    <w:name w:val="Document Map"/>
    <w:basedOn w:val="Normal"/>
    <w:link w:val="DocumentMapChar"/>
    <w:qFormat/>
    <w:pPr>
      <w:shd w:color="auto" w:fill="000080" w:val="clear"/>
      <w:spacing w:after="0" w:line="240" w:lineRule="auto"/>
    </w:pPr>
    <w:rPr>
      <w:rFonts w:ascii="Tahoma" w:eastAsia="Times New Roman" w:hAnsi="Tahoma"/>
      <w:sz w:val="20"/>
      <w:szCs w:val="20"/>
      <w:lang w:val="en-US"/>
    </w:rPr>
  </w:style>
  <w:style w:customStyle="1" w:styleId="TitlePage" w:type="paragraph">
    <w:name w:val="TitlePage"/>
    <w:basedOn w:val="Normal"/>
    <w:qFormat/>
    <w:pPr>
      <w:spacing w:after="0"/>
      <w:jc w:val="center"/>
    </w:pPr>
    <w:rPr>
      <w:rFonts w:cs="Times New Roman" w:eastAsia="Times New Roman"/>
      <w:b/>
      <w:sz w:val="28"/>
      <w:szCs w:val="20"/>
      <w:lang w:val="en-US"/>
    </w:rPr>
  </w:style>
  <w:style w:customStyle="1" w:styleId="WfxFaxNum" w:type="paragraph">
    <w:name w:val="WfxFaxNum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HTMLPreformatted" w:type="paragraph">
    <w:name w:val="HTML Preformatted"/>
    <w:basedOn w:val="Normal"/>
    <w:link w:val="HTMLPreformattedChar"/>
    <w:qFormat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eastAsia="et-EE" w:val="et-EE"/>
    </w:rPr>
  </w:style>
  <w:style w:customStyle="1" w:styleId="Body125space" w:type="paragraph">
    <w:name w:val="Body 1.25 space"/>
    <w:basedOn w:val="Normal"/>
    <w:qFormat/>
    <w:pPr>
      <w:widowControl w:val="0"/>
      <w:spacing w:after="0" w:line="300" w:lineRule="auto"/>
      <w:textAlignment w:val="baseline"/>
    </w:pPr>
    <w:rPr>
      <w:rFonts w:cs="Times New Roman" w:eastAsia="Times New Roman"/>
      <w:szCs w:val="24"/>
      <w:lang w:val="en-US"/>
    </w:rPr>
  </w:style>
  <w:style w:customStyle="1" w:styleId="TOCtitle" w:type="paragraph">
    <w:name w:val="TOC_title"/>
    <w:basedOn w:val="Normal"/>
    <w:next w:val="Normal"/>
    <w:qFormat/>
    <w:pPr>
      <w:tabs>
        <w:tab w:pos="1080" w:val="left"/>
      </w:tabs>
      <w:spacing w:after="60" w:before="60" w:line="240" w:lineRule="auto"/>
      <w:jc w:val="center"/>
    </w:pPr>
    <w:rPr>
      <w:rFonts w:cs="Times New Roman" w:eastAsia="Times New Roman"/>
      <w:b/>
      <w:szCs w:val="20"/>
      <w:lang w:val="en-US"/>
    </w:rPr>
  </w:style>
  <w:style w:customStyle="1" w:styleId="WfxDate" w:type="paragraph">
    <w:name w:val="WfxDate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E-mailSignature" w:type="paragraph">
    <w:name w:val="E-mail Signature"/>
    <w:basedOn w:val="Normal"/>
    <w:link w:val="E-mailSignatureChar"/>
    <w:qFormat/>
    <w:pPr>
      <w:spacing w:after="0" w:line="240" w:lineRule="auto"/>
    </w:pPr>
    <w:rPr>
      <w:szCs w:val="24"/>
      <w:lang w:eastAsia="ru-RU"/>
    </w:rPr>
  </w:style>
  <w:style w:customStyle="1" w:styleId="WfxTime" w:type="paragraph">
    <w:name w:val="WfxTime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styleId="NormalWeb" w:type="paragraph">
    <w:name w:val="Normal (Web)"/>
    <w:basedOn w:val="Normal"/>
    <w:qFormat/>
    <w:pPr>
      <w:spacing w:after="280" w:before="280" w:line="240" w:lineRule="auto"/>
    </w:pPr>
    <w:rPr>
      <w:rFonts w:cs="Times New Roman" w:eastAsia="Times New Roman"/>
      <w:szCs w:val="24"/>
      <w:lang w:eastAsia="pl-PL" w:val="pl-PL"/>
    </w:rPr>
  </w:style>
  <w:style w:customStyle="1" w:styleId="WfxSubject" w:type="paragraph">
    <w:name w:val="WfxSubject"/>
    <w:basedOn w:val="Normal"/>
    <w:qFormat/>
    <w:pPr>
      <w:spacing w:after="0" w:line="240" w:lineRule="auto"/>
    </w:pPr>
    <w:rPr>
      <w:rFonts w:cs="Times New Roman" w:eastAsia="Times New Roman"/>
      <w:szCs w:val="20"/>
      <w:lang w:val="en-GB"/>
    </w:rPr>
  </w:style>
  <w:style w:customStyle="1" w:styleId="msolistparagraph0" w:type="paragraph">
    <w:name w:val="msolistparagraph"/>
    <w:basedOn w:val="Normal"/>
    <w:qFormat/>
    <w:pPr>
      <w:spacing w:after="0" w:line="240" w:lineRule="auto"/>
      <w:ind w:left="720"/>
    </w:pPr>
    <w:rPr>
      <w:rFonts w:ascii="Calibri" w:cs="Times New Roman" w:eastAsia="Times New Roman" w:hAnsi="Calibri"/>
      <w:lang w:eastAsia="pl-PL" w:val="pl-PL"/>
    </w:rPr>
  </w:style>
  <w:style w:customStyle="1" w:styleId="1CharCharCharChar" w:type="paragraph">
    <w:name w:val="Знак Знак1 Char Char Знак Знак Char Char Знак Знак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1" w:type="paragraph">
    <w:name w:val="Znak Znak1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20" w:type="paragraph">
    <w:name w:val="Знак Знак2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3" w:type="paragraph">
    <w:name w:val="Znak Znak3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ZnakZnak4" w:type="paragraph">
    <w:name w:val="Znak Znak4"/>
    <w:basedOn w:val="Normal"/>
    <w:qFormat/>
    <w:pPr>
      <w:spacing w:after="160" w:line="240" w:lineRule="exact"/>
    </w:pPr>
    <w:rPr>
      <w:rFonts w:ascii="Verdana" w:cs="Times New Roman" w:eastAsia="Times New Roman" w:hAnsi="Verdana"/>
      <w:sz w:val="20"/>
      <w:szCs w:val="20"/>
      <w:lang w:val="en-US"/>
    </w:rPr>
  </w:style>
  <w:style w:customStyle="1" w:styleId="Paragraph" w:type="paragraph">
    <w:name w:val="Paragraph"/>
    <w:link w:val="ParagraphChar"/>
    <w:qFormat/>
    <w:pPr>
      <w:spacing w:after="240"/>
    </w:pPr>
    <w:rPr>
      <w:rFonts w:ascii="Times New Roman" w:cs="Times New Roman" w:eastAsia="Arial" w:hAnsi="Times New Roman"/>
      <w:sz w:val="24"/>
      <w:szCs w:val="24"/>
      <w:lang w:val="en-US"/>
    </w:rPr>
  </w:style>
  <w:style w:customStyle="1" w:styleId="12" w:type="paragraph">
    <w:name w:val="Текст1"/>
    <w:basedOn w:val="Normal"/>
    <w:qFormat/>
    <w:pPr>
      <w:tabs>
        <w:tab w:pos="1080" w:val="left"/>
      </w:tabs>
      <w:spacing w:after="60" w:before="60" w:line="240" w:lineRule="auto"/>
    </w:pPr>
    <w:rPr>
      <w:rFonts w:cs="Times New Roman" w:eastAsia="Times New Roman"/>
      <w:szCs w:val="20"/>
      <w:lang w:val="en-US"/>
    </w:rPr>
  </w:style>
  <w:style w:customStyle="1" w:styleId="Default" w:type="paragraph">
    <w:name w:val="Default"/>
    <w:qFormat/>
    <w:pPr>
      <w:widowControl w:val="0"/>
    </w:pPr>
    <w:rPr>
      <w:rFonts w:ascii="Arial" w:cs="Arial" w:eastAsia="Times New Roman" w:hAnsi="Arial"/>
      <w:color w:val="000000"/>
      <w:sz w:val="24"/>
      <w:szCs w:val="24"/>
      <w:lang w:bidi="en-US" w:val="en-US"/>
    </w:rPr>
  </w:style>
  <w:style w:styleId="TOCHeading" w:type="paragraph">
    <w:name w:val="TOC Heading"/>
    <w:basedOn w:val="Heading1"/>
    <w:next w:val="Normal"/>
    <w:pPr>
      <w:keepLines/>
      <w:numPr>
        <w:numId w:val="0"/>
      </w:numPr>
      <w:suppressLineNumbers/>
      <w:spacing w:after="0" w:before="480"/>
      <w:outlineLvl w:val="9"/>
    </w:pPr>
    <w:rPr>
      <w:bCs/>
      <w:color w:val="000000"/>
      <w:kern w:val="0"/>
      <w:szCs w:val="28"/>
    </w:rPr>
  </w:style>
  <w:style w:styleId="Revision" w:type="paragraph">
    <w:name w:val="Revision"/>
    <w:qFormat/>
    <w:rPr>
      <w:rFonts w:ascii="Times New Roman" w:cs="Times New Roman" w:eastAsia="Times New Roman" w:hAnsi="Times New Roman"/>
      <w:sz w:val="20"/>
      <w:szCs w:val="20"/>
      <w:lang w:val="en-US"/>
    </w:rPr>
  </w:style>
  <w:style w:styleId="EndnoteText" w:type="paragraph">
    <w:name w:val="endnote text"/>
    <w:basedOn w:val="Normal"/>
    <w:link w:val="EndnoteTextChar"/>
    <w:pPr>
      <w:spacing w:after="0" w:line="240" w:lineRule="auto"/>
    </w:pPr>
    <w:rPr>
      <w:rFonts w:ascii="Courier New" w:cs="Times New Roman" w:eastAsia="Times New Roman" w:hAnsi="Courier New"/>
      <w:szCs w:val="20"/>
      <w:lang w:bidi="en-US" w:val="en-US"/>
    </w:rPr>
  </w:style>
  <w:style w:customStyle="1" w:styleId="Synopsis" w:type="paragraph">
    <w:name w:val="Synopsis"/>
    <w:qFormat/>
    <w:pPr>
      <w:ind w:firstLine="14"/>
    </w:pPr>
    <w:rPr>
      <w:rFonts w:ascii="Times New Roman" w:cs="Times New Roman" w:hAnsi="Times New Roman"/>
      <w:sz w:val="20"/>
      <w:szCs w:val="20"/>
      <w:lang w:bidi="en-US" w:val="en-GB"/>
    </w:rPr>
  </w:style>
  <w:style w:customStyle="1" w:styleId="Abbreviationtabletext" w:type="paragraph">
    <w:name w:val="Abbreviation table text"/>
    <w:basedOn w:val="Normal"/>
    <w:qFormat/>
    <w:pPr>
      <w:tabs>
        <w:tab w:pos="1985" w:val="left"/>
      </w:tabs>
      <w:spacing w:after="0" w:line="288" w:lineRule="auto"/>
      <w:ind w:left="57"/>
    </w:pPr>
    <w:rPr>
      <w:rFonts w:cs="Times New Roman"/>
      <w:szCs w:val="20"/>
      <w:lang w:bidi="en-US" w:val="en-US"/>
    </w:rPr>
  </w:style>
  <w:style w:customStyle="1" w:styleId="SDmain0" w:type="paragraph">
    <w:name w:val="SD_main"/>
    <w:link w:val="SDmain"/>
    <w:qFormat/>
    <w:pPr>
      <w:spacing w:after="120" w:before="120" w:line="288" w:lineRule="auto"/>
      <w:jc w:val="both"/>
    </w:pPr>
    <w:rPr>
      <w:rFonts w:cs="Times New Roman" w:eastAsia="Times New Roman"/>
      <w:sz w:val="24"/>
      <w:szCs w:val="24"/>
      <w:lang w:eastAsia="ru-RU"/>
    </w:rPr>
  </w:style>
  <w:style w:customStyle="1" w:styleId="SDText" w:type="paragraph">
    <w:name w:val="SD_Text"/>
    <w:basedOn w:val="Normal"/>
    <w:qFormat/>
    <w:rPr>
      <w:rFonts w:eastAsia="MS Gothic"/>
      <w:color w:val="000000"/>
      <w:sz w:val="32"/>
    </w:rPr>
  </w:style>
  <w:style w:customStyle="1" w:styleId="a6" w:type="paragraph">
    <w:name w:val="обычный"/>
    <w:basedOn w:val="SDText"/>
    <w:qFormat/>
    <w:rPr>
      <w:sz w:val="24"/>
      <w:szCs w:val="32"/>
    </w:rPr>
  </w:style>
  <w:style w:customStyle="1" w:styleId="Style1" w:type="paragraph">
    <w:name w:val="Style1"/>
    <w:basedOn w:val="Normal"/>
    <w:qFormat/>
    <w:rPr>
      <w:szCs w:val="20"/>
      <w:lang w:val="en-US"/>
    </w:rPr>
  </w:style>
  <w:style w:customStyle="1" w:styleId="21" w:type="paragraph">
    <w:name w:val="Обычный 2"/>
    <w:basedOn w:val="Normal"/>
    <w:qFormat/>
    <w:pPr>
      <w:ind w:firstLine="709"/>
    </w:pPr>
    <w:rPr>
      <w:rFonts w:cs="Calibri"/>
      <w:color w:val="000000"/>
      <w:lang w:bidi="ru-RU"/>
    </w:rPr>
  </w:style>
  <w:style w:customStyle="1" w:styleId="SynopsisText" w:type="paragraph">
    <w:name w:val="Synopsis Text"/>
    <w:basedOn w:val="Normal"/>
    <w:qFormat/>
    <w:pPr>
      <w:spacing w:before="120"/>
    </w:pPr>
    <w:rPr>
      <w:sz w:val="20"/>
      <w:szCs w:val="20"/>
      <w:lang w:val="en-US"/>
    </w:rPr>
  </w:style>
  <w:style w:customStyle="1" w:styleId="X7" w:type="paragraph">
    <w:name w:val="X7_Текст"/>
    <w:qFormat/>
    <w:pPr>
      <w:spacing w:after="120" w:before="120" w:line="288" w:lineRule="auto"/>
      <w:jc w:val="both"/>
    </w:pPr>
    <w:rPr>
      <w:rFonts w:ascii="Times New Roman" w:hAnsi="Times New Roman"/>
      <w:sz w:val="24"/>
      <w:szCs w:val="24"/>
    </w:rPr>
  </w:style>
  <w:style w:customStyle="1" w:styleId="X70" w:type="paragraph">
    <w:name w:val="X7_текст"/>
    <w:basedOn w:val="Normal"/>
    <w:qFormat/>
    <w:pPr>
      <w:spacing w:before="120"/>
      <w:ind w:firstLine="709"/>
    </w:pPr>
    <w:rPr>
      <w:rFonts w:cs="Times New Roman" w:eastAsia="Times New Roman"/>
      <w:szCs w:val="24"/>
      <w:lang w:eastAsia="ru-RU"/>
    </w:rPr>
  </w:style>
  <w:style w:styleId="FootnoteText" w:type="paragraph">
    <w:name w:val="footnote text"/>
    <w:basedOn w:val="Normal"/>
    <w:pPr>
      <w:suppressLineNumbers/>
      <w:ind w:hanging="340" w:left="340"/>
    </w:pPr>
    <w:rPr>
      <w:sz w:val="20"/>
      <w:szCs w:val="20"/>
    </w:rPr>
  </w:style>
  <w:style w:customStyle="1" w:styleId="pf0" w:type="paragraph">
    <w:name w:val="pf0"/>
    <w:basedOn w:val="Normal"/>
    <w:qFormat/>
    <w:pPr>
      <w:spacing w:after="280" w:before="280"/>
    </w:pPr>
    <w:rPr>
      <w:rFonts w:cs="Times New Roman" w:eastAsia="Times New Roman"/>
      <w:szCs w:val="24"/>
      <w:lang w:eastAsia="ru-RU"/>
    </w:rPr>
  </w:style>
  <w:style w:customStyle="1" w:styleId="a7" w:type="paragraph">
    <w:name w:val="Содержимое таблицы"/>
    <w:basedOn w:val="Normal"/>
    <w:qFormat/>
    <w:pPr>
      <w:widowControl w:val="0"/>
      <w:suppressLineNumbers/>
    </w:pPr>
  </w:style>
  <w:style w:customStyle="1" w:styleId="a8" w:type="paragraph">
    <w:name w:val="Заголовок таблицы"/>
    <w:basedOn w:val="a7"/>
    <w:qFormat/>
    <w:pPr>
      <w:jc w:val="center"/>
    </w:pPr>
    <w:rPr>
      <w:b/>
      <w:bCs/>
    </w:rPr>
  </w:style>
  <w:style w:customStyle="1" w:styleId="a9" w:type="paragraph">
    <w:name w:val="Основной Текст"/>
    <w:basedOn w:val="Normal"/>
    <w:qFormat/>
    <w:pPr>
      <w:ind w:firstLine="709"/>
    </w:pPr>
    <w:rPr>
      <w:rFonts w:cs="Times New Roman" w:eastAsia="Times New Roman"/>
      <w:szCs w:val="24"/>
    </w:rPr>
  </w:style>
  <w:style w:customStyle="1" w:styleId="aa" w:type="paragraph">
    <w:name w:val="Текст в заданном формате"/>
    <w:basedOn w:val="Normal"/>
    <w:qFormat/>
    <w:pPr>
      <w:spacing w:after="0"/>
    </w:pPr>
    <w:rPr>
      <w:rFonts w:ascii="Liberation Mono" w:cs="Liberation Mono" w:eastAsia="Liberation Mono" w:hAnsi="Liberation Mono"/>
      <w:sz w:val="20"/>
      <w:szCs w:val="20"/>
    </w:rPr>
  </w:style>
  <w:style w:customStyle="1" w:styleId="WW8Num49" w:type="numbering">
    <w:name w:val="WW8Num49"/>
    <w:qFormat/>
  </w:style>
  <w:style w:customStyle="1" w:styleId="WW8Num32" w:type="numbering">
    <w:name w:val="WW8Num32"/>
    <w:qFormat/>
  </w:style>
  <w:style w:customStyle="1" w:styleId="WW8Num41" w:type="numbering">
    <w:name w:val="WW8Num41"/>
    <w:qFormat/>
  </w:style>
  <w:style w:customStyle="1" w:styleId="WW8Num27" w:type="numbering">
    <w:name w:val="WW8Num27"/>
    <w:qFormat/>
  </w:style>
  <w:style w:customStyle="1" w:styleId="WW8Num18" w:type="numbering">
    <w:name w:val="WW8Num18"/>
    <w:qFormat/>
  </w:style>
  <w:style w:customStyle="1" w:styleId="WW8Num31" w:type="numbering">
    <w:name w:val="WW8Num31"/>
    <w:qFormat/>
  </w:style>
  <w:style w:customStyle="1" w:styleId="WW8Num29" w:type="numbering">
    <w:name w:val="WW8Num29"/>
    <w:qFormat/>
  </w:style>
  <w:style w:customStyle="1" w:styleId="123" w:type="numbering">
    <w:name w:val="Нумерованный 123"/>
    <w:qFormat/>
  </w:style>
  <w:style w:styleId="TableGrid" w:type="table">
    <w:name w:val="Table Grid"/>
    <w:basedOn w:val="TableNormal"/>
    <w:uiPriority w:val="39"/>
    <w:rsid w:val="00313E2B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1" Target="media/rId2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1976</TotalTime>
  <Pages>1</Pages>
  <Words>0</Words>
  <Characters>0</Characters>
  <Application>Microsoft Office Word</Application>
  <DocSecurity>0</DocSecurity>
  <Lines>0</Lines>
  <Paragraphs>0</Paragraphs>
  <ScaleCrop>false</ScaleCrop>
  <Company>X7Research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одноцентровое, открытое, рандомизированное, клиническое исследование в параллельных группах, по сравнительной оценке, эффективности и безопасности биологически активной добавки “Куркумин НЕО”, 100 мг для перорального применения в сравнении со стандартной терапией “Метотрексат”, 7,5 мг для лечения при ревматоидном артрите (РА).</dc:title>
  <dc:creator/>
  <cp:keywords/>
  <dcterms:created xsi:type="dcterms:W3CDTF">2026-01-18T17:59:51Z</dcterms:created>
  <dcterms:modified xsi:type="dcterms:W3CDTF">2026-01-18T17:59:51Z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2026-01-18</vt:lpwstr>
  </property>
  <property fmtid="{D5CDD505-2E9C-101B-9397-08002B2CF9AE}" pid="3" name="output">
    <vt:lpwstr/>
  </property>
</Properties>
</file>